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EFC6" w14:textId="201CEFE9"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Konstrukcija:</w:t>
      </w:r>
      <w:r w:rsidRPr="00CC11F0">
        <w:rPr>
          <w:rFonts w:ascii="Times New Roman" w:eastAsia="Times New Roman" w:hAnsi="Times New Roman" w:cs="Times New Roman"/>
          <w:kern w:val="0"/>
          <w:sz w:val="24"/>
          <w:szCs w:val="24"/>
          <w14:ligatures w14:val="none"/>
        </w:rPr>
        <w:t xml:space="preserve"> </w:t>
      </w:r>
      <w:r w:rsidR="00CC2BB6" w:rsidRPr="00CC2BB6">
        <w:rPr>
          <w:rFonts w:ascii="Times New Roman" w:eastAsia="Times New Roman" w:hAnsi="Times New Roman" w:cs="Times New Roman"/>
          <w:kern w:val="0"/>
          <w:sz w:val="24"/>
          <w:szCs w:val="24"/>
          <w14:ligatures w14:val="none"/>
        </w:rPr>
        <w:t xml:space="preserve">Slėgio kėlimo įrenginys su </w:t>
      </w:r>
      <w:r w:rsidR="00EB7753">
        <w:rPr>
          <w:rFonts w:ascii="Times New Roman" w:eastAsia="Times New Roman" w:hAnsi="Times New Roman" w:cs="Times New Roman"/>
          <w:kern w:val="0"/>
          <w:sz w:val="24"/>
          <w:szCs w:val="24"/>
          <w14:ligatures w14:val="none"/>
        </w:rPr>
        <w:t>keliais</w:t>
      </w:r>
      <w:r w:rsidR="00CC2BB6" w:rsidRPr="00CC2BB6">
        <w:rPr>
          <w:rFonts w:ascii="Times New Roman" w:eastAsia="Times New Roman" w:hAnsi="Times New Roman" w:cs="Times New Roman"/>
          <w:kern w:val="0"/>
          <w:sz w:val="24"/>
          <w:szCs w:val="24"/>
          <w14:ligatures w14:val="none"/>
        </w:rPr>
        <w:t xml:space="preserve"> nesavisiurbi</w:t>
      </w:r>
      <w:r w:rsidR="00EB7753">
        <w:rPr>
          <w:rFonts w:ascii="Times New Roman" w:eastAsia="Times New Roman" w:hAnsi="Times New Roman" w:cs="Times New Roman"/>
          <w:kern w:val="0"/>
          <w:sz w:val="24"/>
          <w:szCs w:val="24"/>
          <w14:ligatures w14:val="none"/>
        </w:rPr>
        <w:t>ais</w:t>
      </w:r>
      <w:r w:rsidR="00CC2BB6" w:rsidRPr="00CC2BB6">
        <w:rPr>
          <w:rFonts w:ascii="Times New Roman" w:eastAsia="Times New Roman" w:hAnsi="Times New Roman" w:cs="Times New Roman"/>
          <w:kern w:val="0"/>
          <w:sz w:val="24"/>
          <w:szCs w:val="24"/>
          <w14:ligatures w14:val="none"/>
        </w:rPr>
        <w:t>, nerūdijančio plieno, aukšto slėgio daugiapakopi</w:t>
      </w:r>
      <w:r w:rsidR="00EB7753">
        <w:rPr>
          <w:rFonts w:ascii="Times New Roman" w:eastAsia="Times New Roman" w:hAnsi="Times New Roman" w:cs="Times New Roman"/>
          <w:kern w:val="0"/>
          <w:sz w:val="24"/>
          <w:szCs w:val="24"/>
          <w14:ligatures w14:val="none"/>
        </w:rPr>
        <w:t>ais</w:t>
      </w:r>
      <w:r w:rsidR="00CC2BB6" w:rsidRPr="00CC2BB6">
        <w:rPr>
          <w:rFonts w:ascii="Times New Roman" w:eastAsia="Times New Roman" w:hAnsi="Times New Roman" w:cs="Times New Roman"/>
          <w:kern w:val="0"/>
          <w:sz w:val="24"/>
          <w:szCs w:val="24"/>
          <w14:ligatures w14:val="none"/>
        </w:rPr>
        <w:t xml:space="preserve"> išcentrini</w:t>
      </w:r>
      <w:r w:rsidR="00EB7753">
        <w:rPr>
          <w:rFonts w:ascii="Times New Roman" w:eastAsia="Times New Roman" w:hAnsi="Times New Roman" w:cs="Times New Roman"/>
          <w:kern w:val="0"/>
          <w:sz w:val="24"/>
          <w:szCs w:val="24"/>
          <w14:ligatures w14:val="none"/>
        </w:rPr>
        <w:t>ais</w:t>
      </w:r>
      <w:r w:rsidR="00CC2BB6" w:rsidRPr="00CC2BB6">
        <w:rPr>
          <w:rFonts w:ascii="Times New Roman" w:eastAsia="Times New Roman" w:hAnsi="Times New Roman" w:cs="Times New Roman"/>
          <w:kern w:val="0"/>
          <w:sz w:val="24"/>
          <w:szCs w:val="24"/>
          <w14:ligatures w14:val="none"/>
        </w:rPr>
        <w:t xml:space="preserve"> siurbli</w:t>
      </w:r>
      <w:r w:rsidR="00EB7753">
        <w:rPr>
          <w:rFonts w:ascii="Times New Roman" w:eastAsia="Times New Roman" w:hAnsi="Times New Roman" w:cs="Times New Roman"/>
          <w:kern w:val="0"/>
          <w:sz w:val="24"/>
          <w:szCs w:val="24"/>
          <w14:ligatures w14:val="none"/>
        </w:rPr>
        <w:t>ais</w:t>
      </w:r>
      <w:r w:rsidR="00CC2BB6" w:rsidRPr="00CC2BB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su integruotu valdymu</w:t>
      </w:r>
      <w:r w:rsidRPr="00CC11F0">
        <w:rPr>
          <w:rFonts w:ascii="Times New Roman" w:eastAsia="Times New Roman" w:hAnsi="Times New Roman" w:cs="Times New Roman"/>
          <w:kern w:val="0"/>
          <w:sz w:val="24"/>
          <w:szCs w:val="24"/>
          <w14:ligatures w14:val="none"/>
        </w:rPr>
        <w:t>.</w:t>
      </w:r>
    </w:p>
    <w:p w14:paraId="66AC6A13"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Pritaikymas:</w:t>
      </w:r>
      <w:r w:rsidRPr="00CC11F0">
        <w:rPr>
          <w:rFonts w:ascii="Times New Roman" w:eastAsia="Times New Roman" w:hAnsi="Times New Roman" w:cs="Times New Roman"/>
          <w:kern w:val="0"/>
          <w:sz w:val="24"/>
          <w:szCs w:val="24"/>
          <w14:ligatures w14:val="none"/>
        </w:rPr>
        <w:t xml:space="preserve"> Visiškai automatizuotas vandens tiekimas ir slėgio kėlimas iš komunalinio vandentiekio arba rezervuarų privačioms, komercinėms, pramonės ir komunalinėms reikmėms. Tinka vandentiekio ir technologiniam vandeniui, aušinimo vandeniui ir kitokiam buitiniam vandeniui be cheminių, mechaninių, abrazyvinių ar ilgapluoščių priemaišų pumpuoti.</w:t>
      </w:r>
    </w:p>
    <w:p w14:paraId="7F6E515C"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Įranga ir funkcijos:</w:t>
      </w:r>
    </w:p>
    <w:p w14:paraId="46343D4B" w14:textId="436F9D8E" w:rsidR="00CC11F0" w:rsidRPr="00CC11F0" w:rsidRDefault="0049182F"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arba 3</w:t>
      </w:r>
      <w:r w:rsidR="00CC11F0" w:rsidRPr="00CC11F0">
        <w:rPr>
          <w:rFonts w:ascii="Times New Roman" w:eastAsia="Times New Roman" w:hAnsi="Times New Roman" w:cs="Times New Roman"/>
          <w:kern w:val="0"/>
          <w:sz w:val="24"/>
          <w:szCs w:val="24"/>
          <w14:ligatures w14:val="none"/>
        </w:rPr>
        <w:t xml:space="preserve"> siurbl</w:t>
      </w:r>
      <w:r>
        <w:rPr>
          <w:rFonts w:ascii="Times New Roman" w:eastAsia="Times New Roman" w:hAnsi="Times New Roman" w:cs="Times New Roman"/>
          <w:kern w:val="0"/>
          <w:sz w:val="24"/>
          <w:szCs w:val="24"/>
          <w14:ligatures w14:val="none"/>
        </w:rPr>
        <w:t>iai</w:t>
      </w:r>
      <w:r w:rsidR="00CC11F0" w:rsidRPr="00CC11F0">
        <w:rPr>
          <w:rFonts w:ascii="Times New Roman" w:eastAsia="Times New Roman" w:hAnsi="Times New Roman" w:cs="Times New Roman"/>
          <w:kern w:val="0"/>
          <w:sz w:val="24"/>
          <w:szCs w:val="24"/>
          <w14:ligatures w14:val="none"/>
        </w:rPr>
        <w:t xml:space="preserve"> </w:t>
      </w:r>
      <w:r w:rsidR="00CC11F0">
        <w:rPr>
          <w:rFonts w:ascii="Times New Roman" w:eastAsia="Times New Roman" w:hAnsi="Times New Roman" w:cs="Times New Roman"/>
          <w:kern w:val="0"/>
          <w:sz w:val="24"/>
          <w:szCs w:val="24"/>
          <w14:ligatures w14:val="none"/>
        </w:rPr>
        <w:t>su integruotru valdymu</w:t>
      </w:r>
    </w:p>
    <w:p w14:paraId="5D203E49"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Su terpe besiliečiančios konstrukcinės dalys atsparios korozijai</w:t>
      </w:r>
    </w:p>
    <w:p w14:paraId="390260C5"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Cinkuoto plieno pagrindo rėmas su reguliuojamo aukščio amortizatoriais triukšmui slopinti</w:t>
      </w:r>
    </w:p>
    <w:p w14:paraId="2B472EC6" w14:textId="4E5B2C2A"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Uždaromoji sklendė </w:t>
      </w:r>
      <w:r w:rsidR="0049182F">
        <w:rPr>
          <w:rFonts w:ascii="Times New Roman" w:eastAsia="Times New Roman" w:hAnsi="Times New Roman" w:cs="Times New Roman"/>
          <w:kern w:val="0"/>
          <w:sz w:val="24"/>
          <w:szCs w:val="24"/>
          <w14:ligatures w14:val="none"/>
        </w:rPr>
        <w:t xml:space="preserve">kiekvieno </w:t>
      </w:r>
      <w:r w:rsidRPr="00CC11F0">
        <w:rPr>
          <w:rFonts w:ascii="Times New Roman" w:eastAsia="Times New Roman" w:hAnsi="Times New Roman" w:cs="Times New Roman"/>
          <w:kern w:val="0"/>
          <w:sz w:val="24"/>
          <w:szCs w:val="24"/>
          <w14:ligatures w14:val="none"/>
        </w:rPr>
        <w:t>siurblio įsiurbimo ir slėgio pusėse</w:t>
      </w:r>
    </w:p>
    <w:p w14:paraId="64DA2729" w14:textId="6FCB72BA"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Atbulinis vožtuvas </w:t>
      </w:r>
      <w:r w:rsidR="0049182F">
        <w:rPr>
          <w:rFonts w:ascii="Times New Roman" w:eastAsia="Times New Roman" w:hAnsi="Times New Roman" w:cs="Times New Roman"/>
          <w:kern w:val="0"/>
          <w:sz w:val="24"/>
          <w:szCs w:val="24"/>
          <w14:ligatures w14:val="none"/>
        </w:rPr>
        <w:t xml:space="preserve">kiekvieno siurblio </w:t>
      </w:r>
      <w:r w:rsidRPr="00CC11F0">
        <w:rPr>
          <w:rFonts w:ascii="Times New Roman" w:eastAsia="Times New Roman" w:hAnsi="Times New Roman" w:cs="Times New Roman"/>
          <w:kern w:val="0"/>
          <w:sz w:val="24"/>
          <w:szCs w:val="24"/>
          <w14:ligatures w14:val="none"/>
        </w:rPr>
        <w:t>slėgio pusėje</w:t>
      </w:r>
    </w:p>
    <w:p w14:paraId="201D49CE" w14:textId="674DC314"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Slėgio jutiklis </w:t>
      </w:r>
      <w:r>
        <w:rPr>
          <w:rFonts w:ascii="Times New Roman" w:eastAsia="Times New Roman" w:hAnsi="Times New Roman" w:cs="Times New Roman"/>
          <w:kern w:val="0"/>
          <w:sz w:val="24"/>
          <w:szCs w:val="24"/>
          <w14:ligatures w14:val="none"/>
        </w:rPr>
        <w:t>slėginėje ir pasiurbimo pusėje</w:t>
      </w:r>
    </w:p>
    <w:p w14:paraId="1EA52B9F" w14:textId="7B442C79"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Manometras </w:t>
      </w:r>
      <w:r w:rsidR="00174812">
        <w:rPr>
          <w:rFonts w:ascii="Times New Roman" w:eastAsia="Times New Roman" w:hAnsi="Times New Roman" w:cs="Times New Roman"/>
          <w:kern w:val="0"/>
          <w:sz w:val="24"/>
          <w:szCs w:val="24"/>
          <w14:ligatures w14:val="none"/>
        </w:rPr>
        <w:t>slėginėje ir pasiurbimo pusėje</w:t>
      </w:r>
    </w:p>
    <w:p w14:paraId="418726B0"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Apsauga nuo sausosios eigos</w:t>
      </w:r>
    </w:p>
    <w:p w14:paraId="78E4030E" w14:textId="451B51FF" w:rsidR="00CC11F0" w:rsidRPr="00CC11F0" w:rsidRDefault="00174812"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00CC11F0" w:rsidRPr="00CC11F0">
        <w:rPr>
          <w:rFonts w:ascii="Times New Roman" w:eastAsia="Times New Roman" w:hAnsi="Times New Roman" w:cs="Times New Roman"/>
          <w:kern w:val="0"/>
          <w:sz w:val="24"/>
          <w:szCs w:val="24"/>
          <w14:ligatures w14:val="none"/>
        </w:rPr>
        <w:t>eguliavimas per integruotą dažnio keitiklį</w:t>
      </w:r>
    </w:p>
    <w:p w14:paraId="5E56171C"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Techniniai duomenys:</w:t>
      </w:r>
    </w:p>
    <w:p w14:paraId="27C18416" w14:textId="140D1A3E"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Maitinimo įtampa: 3~400 V ± 10 %, 50 Hz</w:t>
      </w:r>
      <w:r w:rsidR="0049182F">
        <w:rPr>
          <w:rFonts w:ascii="Times New Roman" w:eastAsia="Times New Roman" w:hAnsi="Times New Roman" w:cs="Times New Roman"/>
          <w:kern w:val="0"/>
          <w:sz w:val="24"/>
          <w:szCs w:val="24"/>
          <w14:ligatures w14:val="none"/>
        </w:rPr>
        <w:t xml:space="preserve"> arba</w:t>
      </w:r>
      <w:r w:rsidRPr="00CC11F0">
        <w:rPr>
          <w:rFonts w:ascii="Times New Roman" w:eastAsia="Times New Roman" w:hAnsi="Times New Roman" w:cs="Times New Roman"/>
          <w:kern w:val="0"/>
          <w:sz w:val="24"/>
          <w:szCs w:val="24"/>
          <w14:ligatures w14:val="none"/>
        </w:rPr>
        <w:t xml:space="preserve"> 1~230 V, 50 Hz </w:t>
      </w:r>
    </w:p>
    <w:p w14:paraId="45F4FD95" w14:textId="75A2CF18"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Pumpuojamos terpės temperatūra maks.: 50 °C</w:t>
      </w:r>
    </w:p>
    <w:p w14:paraId="62B122CE"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Aplinkos temperatūra maks.: 40 °C</w:t>
      </w:r>
    </w:p>
    <w:p w14:paraId="40912555"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Darbinis slėgis: 10 bar</w:t>
      </w:r>
    </w:p>
    <w:p w14:paraId="1B520852"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Įtako slėgis: 6 bar</w:t>
      </w:r>
    </w:p>
    <w:p w14:paraId="0BD9A3D2"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Apsaugos klasė: IP54</w:t>
      </w:r>
    </w:p>
    <w:p w14:paraId="78594A72"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Medžiagos:</w:t>
      </w:r>
    </w:p>
    <w:p w14:paraId="1489FEE3" w14:textId="0BC4D378"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Siurblio darbaračiai, kreipiamieji korpusai ir siurblio korpusas iš nerūdijančio plieno</w:t>
      </w:r>
    </w:p>
    <w:p w14:paraId="0D040D87" w14:textId="778B57FF"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Velenas iš nerūdijančio plieno</w:t>
      </w:r>
    </w:p>
    <w:p w14:paraId="6F87BD52" w14:textId="77777777"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EPDM sandariklis (EP851)/FKM („Viton“)</w:t>
      </w:r>
    </w:p>
    <w:p w14:paraId="7D49A38E" w14:textId="31CB39D9"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Mechaninis sandariklis iš volframo karbido / anglies</w:t>
      </w:r>
    </w:p>
    <w:p w14:paraId="0D147414" w14:textId="77777777"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Siurblio atrama iš aliuminio</w:t>
      </w:r>
    </w:p>
    <w:p w14:paraId="7AF90256" w14:textId="77777777" w:rsidR="00F9019A" w:rsidRDefault="00F9019A"/>
    <w:sectPr w:rsidR="00F9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1948"/>
    <w:multiLevelType w:val="multilevel"/>
    <w:tmpl w:val="07D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A4628"/>
    <w:multiLevelType w:val="multilevel"/>
    <w:tmpl w:val="45CE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21E1D"/>
    <w:multiLevelType w:val="multilevel"/>
    <w:tmpl w:val="E84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12600">
    <w:abstractNumId w:val="0"/>
  </w:num>
  <w:num w:numId="2" w16cid:durableId="1715108704">
    <w:abstractNumId w:val="1"/>
  </w:num>
  <w:num w:numId="3" w16cid:durableId="955411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F0"/>
    <w:rsid w:val="000E6310"/>
    <w:rsid w:val="00174812"/>
    <w:rsid w:val="0049182F"/>
    <w:rsid w:val="008A586E"/>
    <w:rsid w:val="00CC11F0"/>
    <w:rsid w:val="00CC2BB6"/>
    <w:rsid w:val="00EB7753"/>
    <w:rsid w:val="00F9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100F"/>
  <w15:chartTrackingRefBased/>
  <w15:docId w15:val="{AFFCF612-2A4C-41CF-9F79-C37F72B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1F0"/>
    <w:rPr>
      <w:rFonts w:eastAsiaTheme="majorEastAsia" w:cstheme="majorBidi"/>
      <w:color w:val="272727" w:themeColor="text1" w:themeTint="D8"/>
    </w:rPr>
  </w:style>
  <w:style w:type="paragraph" w:styleId="Title">
    <w:name w:val="Title"/>
    <w:basedOn w:val="Normal"/>
    <w:next w:val="Normal"/>
    <w:link w:val="TitleChar"/>
    <w:uiPriority w:val="10"/>
    <w:qFormat/>
    <w:rsid w:val="00CC1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1F0"/>
    <w:pPr>
      <w:spacing w:before="160"/>
      <w:jc w:val="center"/>
    </w:pPr>
    <w:rPr>
      <w:i/>
      <w:iCs/>
      <w:color w:val="404040" w:themeColor="text1" w:themeTint="BF"/>
    </w:rPr>
  </w:style>
  <w:style w:type="character" w:customStyle="1" w:styleId="QuoteChar">
    <w:name w:val="Quote Char"/>
    <w:basedOn w:val="DefaultParagraphFont"/>
    <w:link w:val="Quote"/>
    <w:uiPriority w:val="29"/>
    <w:rsid w:val="00CC11F0"/>
    <w:rPr>
      <w:i/>
      <w:iCs/>
      <w:color w:val="404040" w:themeColor="text1" w:themeTint="BF"/>
    </w:rPr>
  </w:style>
  <w:style w:type="paragraph" w:styleId="ListParagraph">
    <w:name w:val="List Paragraph"/>
    <w:basedOn w:val="Normal"/>
    <w:uiPriority w:val="34"/>
    <w:qFormat/>
    <w:rsid w:val="00CC11F0"/>
    <w:pPr>
      <w:ind w:left="720"/>
      <w:contextualSpacing/>
    </w:pPr>
  </w:style>
  <w:style w:type="character" w:styleId="IntenseEmphasis">
    <w:name w:val="Intense Emphasis"/>
    <w:basedOn w:val="DefaultParagraphFont"/>
    <w:uiPriority w:val="21"/>
    <w:qFormat/>
    <w:rsid w:val="00CC11F0"/>
    <w:rPr>
      <w:i/>
      <w:iCs/>
      <w:color w:val="0F4761" w:themeColor="accent1" w:themeShade="BF"/>
    </w:rPr>
  </w:style>
  <w:style w:type="paragraph" w:styleId="IntenseQuote">
    <w:name w:val="Intense Quote"/>
    <w:basedOn w:val="Normal"/>
    <w:next w:val="Normal"/>
    <w:link w:val="IntenseQuoteChar"/>
    <w:uiPriority w:val="30"/>
    <w:qFormat/>
    <w:rsid w:val="00CC1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1F0"/>
    <w:rPr>
      <w:i/>
      <w:iCs/>
      <w:color w:val="0F4761" w:themeColor="accent1" w:themeShade="BF"/>
    </w:rPr>
  </w:style>
  <w:style w:type="character" w:styleId="IntenseReference">
    <w:name w:val="Intense Reference"/>
    <w:basedOn w:val="DefaultParagraphFont"/>
    <w:uiPriority w:val="32"/>
    <w:qFormat/>
    <w:rsid w:val="00CC11F0"/>
    <w:rPr>
      <w:b/>
      <w:bCs/>
      <w:smallCaps/>
      <w:color w:val="0F4761" w:themeColor="accent1" w:themeShade="BF"/>
      <w:spacing w:val="5"/>
    </w:rPr>
  </w:style>
  <w:style w:type="paragraph" w:styleId="NormalWeb">
    <w:name w:val="Normal (Web)"/>
    <w:basedOn w:val="Normal"/>
    <w:uiPriority w:val="99"/>
    <w:semiHidden/>
    <w:unhideWhenUsed/>
    <w:rsid w:val="00CC11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1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Merkys Audrius</dc:creator>
  <cp:keywords/>
  <dc:description/>
  <cp:lastModifiedBy>Merkys Audrius</cp:lastModifiedBy>
  <cp:revision>3</cp:revision>
  <dcterms:created xsi:type="dcterms:W3CDTF">2024-11-12T09:43:00Z</dcterms:created>
  <dcterms:modified xsi:type="dcterms:W3CDTF">2024-11-12T09:45:00Z</dcterms:modified>
</cp:coreProperties>
</file>