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3BF4" w14:textId="4A22F7AF" w:rsidR="00956799" w:rsidRPr="00E53D40" w:rsidRDefault="00F537C1" w:rsidP="00674E16">
      <w:pPr>
        <w:jc w:val="center"/>
        <w:rPr>
          <w:rFonts w:asciiTheme="majorHAnsi" w:eastAsia="Calibri" w:hAnsiTheme="majorHAnsi" w:cs="Arial"/>
          <w:b/>
          <w:color w:val="FFC000"/>
          <w:sz w:val="40"/>
          <w:szCs w:val="40"/>
        </w:rPr>
      </w:pPr>
      <w:r w:rsidRPr="00E53D40">
        <w:rPr>
          <w:rFonts w:asciiTheme="majorHAnsi" w:hAnsiTheme="majorHAnsi"/>
          <w:b/>
          <w:color w:val="FFC000"/>
          <w:sz w:val="40"/>
        </w:rPr>
        <w:t xml:space="preserve">Pastaba dėl duomenų apsaugos „WILO SE“ </w:t>
      </w:r>
    </w:p>
    <w:p w14:paraId="0AE37E0E" w14:textId="783E576D" w:rsidR="00E002FE" w:rsidRPr="00E53D40" w:rsidRDefault="00E002FE" w:rsidP="00516175">
      <w:pPr>
        <w:jc w:val="both"/>
        <w:rPr>
          <w:rFonts w:asciiTheme="majorHAnsi" w:eastAsia="Calibri" w:hAnsiTheme="majorHAnsi" w:cs="Arial"/>
          <w:sz w:val="20"/>
          <w:szCs w:val="20"/>
          <w:lang w:val="es-ES" w:eastAsia="en-US"/>
        </w:rPr>
      </w:pPr>
    </w:p>
    <w:p w14:paraId="0AACEE8E" w14:textId="77777777" w:rsidR="00956799" w:rsidRPr="00E53D40" w:rsidRDefault="00956799" w:rsidP="00516175">
      <w:pPr>
        <w:jc w:val="both"/>
        <w:rPr>
          <w:rFonts w:asciiTheme="majorHAnsi" w:eastAsia="Calibri" w:hAnsiTheme="majorHAnsi" w:cs="Arial"/>
          <w:sz w:val="20"/>
          <w:szCs w:val="20"/>
          <w:lang w:val="es-ES" w:eastAsia="en-US"/>
        </w:rPr>
      </w:pPr>
    </w:p>
    <w:p w14:paraId="24C1A345" w14:textId="47D0FC8B" w:rsidR="00F537C1" w:rsidRPr="00E53D40" w:rsidRDefault="00F537C1" w:rsidP="00516175">
      <w:pPr>
        <w:jc w:val="both"/>
        <w:rPr>
          <w:rFonts w:asciiTheme="majorHAnsi" w:eastAsia="Calibri" w:hAnsiTheme="majorHAnsi" w:cs="Arial"/>
          <w:sz w:val="20"/>
          <w:szCs w:val="20"/>
        </w:rPr>
      </w:pPr>
      <w:r w:rsidRPr="00E53D40">
        <w:rPr>
          <w:rFonts w:asciiTheme="majorHAnsi" w:hAnsiTheme="majorHAnsi"/>
          <w:sz w:val="20"/>
          <w:szCs w:val="20"/>
        </w:rPr>
        <w:t>Toliau pateikiame apžvalgą apie jūsų asmens duomenų tvarkymą „WILO SE“ ir apie jūsų teises pagal duomenų apsaugos įstatymus. Kokie duomenys tvarkomi išsamiai ir kaip jie naudojami, priklauso nuo sudarytų sutartinių santykių ar kitų sutartų paslaugų.</w:t>
      </w:r>
    </w:p>
    <w:p w14:paraId="4BBDBAFE" w14:textId="77777777" w:rsidR="009907F0" w:rsidRPr="00E53D40" w:rsidRDefault="009907F0" w:rsidP="00516175">
      <w:pPr>
        <w:jc w:val="both"/>
        <w:rPr>
          <w:rFonts w:asciiTheme="majorHAnsi" w:eastAsia="Calibri" w:hAnsiTheme="majorHAnsi" w:cs="Arial"/>
          <w:sz w:val="20"/>
          <w:szCs w:val="20"/>
          <w:lang w:eastAsia="en-US"/>
        </w:rPr>
      </w:pPr>
    </w:p>
    <w:p w14:paraId="00430236" w14:textId="77777777" w:rsidR="00956799" w:rsidRPr="00E53D40" w:rsidRDefault="00956799" w:rsidP="00516175">
      <w:pPr>
        <w:jc w:val="both"/>
        <w:rPr>
          <w:rFonts w:asciiTheme="majorHAnsi" w:eastAsia="Calibri" w:hAnsiTheme="majorHAnsi" w:cs="Arial"/>
          <w:sz w:val="20"/>
          <w:szCs w:val="20"/>
          <w:lang w:eastAsia="en-US"/>
        </w:rPr>
      </w:pPr>
    </w:p>
    <w:p w14:paraId="48C5943A" w14:textId="0743A779" w:rsidR="00956799" w:rsidRPr="00E53D40" w:rsidRDefault="00352D6B" w:rsidP="00516175">
      <w:pPr>
        <w:spacing w:line="250" w:lineRule="exact"/>
        <w:ind w:right="-1136"/>
        <w:jc w:val="both"/>
        <w:rPr>
          <w:rFonts w:asciiTheme="majorHAnsi" w:eastAsia="Calibri" w:hAnsiTheme="majorHAnsi" w:cs="Arial"/>
          <w:b/>
          <w:color w:val="009C82"/>
          <w:sz w:val="20"/>
          <w:szCs w:val="20"/>
        </w:rPr>
      </w:pPr>
      <w:r w:rsidRPr="00E53D40">
        <w:rPr>
          <w:rFonts w:asciiTheme="majorHAnsi" w:hAnsiTheme="majorHAnsi"/>
          <w:b/>
          <w:color w:val="009C82"/>
          <w:sz w:val="20"/>
          <w:szCs w:val="20"/>
        </w:rPr>
        <w:t>Valdytojas</w:t>
      </w:r>
    </w:p>
    <w:p w14:paraId="34776084" w14:textId="77777777"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„WILO SE“</w:t>
      </w:r>
    </w:p>
    <w:p w14:paraId="62BE877C" w14:textId="6880E106"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Wilopark 1</w:t>
      </w:r>
    </w:p>
    <w:p w14:paraId="42609097" w14:textId="77777777"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44263 Dortmundas</w:t>
      </w:r>
    </w:p>
    <w:p w14:paraId="0D97C3F4" w14:textId="77777777"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Telefonas: +49 231 4102-0</w:t>
      </w:r>
    </w:p>
    <w:p w14:paraId="12452BFA" w14:textId="77777777"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Faksas: +49 231 4102-7575</w:t>
      </w:r>
    </w:p>
    <w:p w14:paraId="02B4E27A" w14:textId="2B91A026" w:rsidR="00B00BA5" w:rsidRPr="00E53D40" w:rsidRDefault="00B00BA5" w:rsidP="00B00BA5">
      <w:pPr>
        <w:rPr>
          <w:rFonts w:asciiTheme="majorHAnsi" w:eastAsia="Calibri" w:hAnsiTheme="majorHAnsi" w:cs="Arial"/>
          <w:sz w:val="20"/>
          <w:szCs w:val="20"/>
        </w:rPr>
      </w:pPr>
      <w:r w:rsidRPr="00E53D40">
        <w:rPr>
          <w:rFonts w:asciiTheme="majorHAnsi" w:hAnsiTheme="majorHAnsi"/>
          <w:sz w:val="20"/>
          <w:szCs w:val="20"/>
        </w:rPr>
        <w:t xml:space="preserve">El. pašto adresas: </w:t>
      </w:r>
      <w:hyperlink r:id="rId7" w:history="1">
        <w:r w:rsidRPr="00E53D40">
          <w:rPr>
            <w:rStyle w:val="Hyperlink"/>
            <w:rFonts w:asciiTheme="majorHAnsi" w:hAnsiTheme="majorHAnsi"/>
            <w:sz w:val="20"/>
            <w:szCs w:val="20"/>
          </w:rPr>
          <w:t>wilo@wilo.com</w:t>
        </w:r>
      </w:hyperlink>
      <w:r w:rsidRPr="00E53D40">
        <w:rPr>
          <w:rFonts w:asciiTheme="majorHAnsi" w:hAnsiTheme="majorHAnsi"/>
          <w:sz w:val="20"/>
          <w:szCs w:val="20"/>
        </w:rPr>
        <w:t xml:space="preserve"> </w:t>
      </w:r>
    </w:p>
    <w:p w14:paraId="1EA068B0" w14:textId="5EEEAF3C" w:rsidR="00956799" w:rsidRPr="00E53D40" w:rsidRDefault="00956799" w:rsidP="00516175">
      <w:pPr>
        <w:jc w:val="both"/>
        <w:rPr>
          <w:rFonts w:asciiTheme="majorHAnsi" w:eastAsia="Calibri" w:hAnsiTheme="majorHAnsi" w:cs="Arial"/>
          <w:sz w:val="20"/>
          <w:szCs w:val="20"/>
          <w:lang w:val="es-ES" w:eastAsia="en-US"/>
        </w:rPr>
      </w:pPr>
    </w:p>
    <w:p w14:paraId="05C586AA" w14:textId="77777777" w:rsidR="009907F0" w:rsidRPr="00E53D40" w:rsidRDefault="009907F0" w:rsidP="00516175">
      <w:pPr>
        <w:jc w:val="both"/>
        <w:rPr>
          <w:rFonts w:asciiTheme="majorHAnsi" w:eastAsia="Calibri" w:hAnsiTheme="majorHAnsi" w:cs="Arial"/>
          <w:sz w:val="20"/>
          <w:szCs w:val="20"/>
          <w:lang w:val="es-ES" w:eastAsia="en-US"/>
        </w:rPr>
      </w:pPr>
    </w:p>
    <w:p w14:paraId="6AEC0874" w14:textId="35DFD024" w:rsidR="00E002FE" w:rsidRPr="00E53D40" w:rsidRDefault="00F537C1" w:rsidP="00741D0B">
      <w:pPr>
        <w:jc w:val="both"/>
        <w:rPr>
          <w:rFonts w:asciiTheme="majorHAnsi" w:eastAsia="Calibri" w:hAnsiTheme="majorHAnsi" w:cs="Arial"/>
          <w:i/>
          <w:sz w:val="20"/>
          <w:szCs w:val="20"/>
        </w:rPr>
      </w:pPr>
      <w:r w:rsidRPr="00E53D40">
        <w:rPr>
          <w:rFonts w:asciiTheme="majorHAnsi" w:hAnsiTheme="majorHAnsi"/>
          <w:b/>
          <w:color w:val="009C82"/>
          <w:sz w:val="20"/>
          <w:szCs w:val="20"/>
        </w:rPr>
        <w:t>Duomenų apsaugos pareigūnas</w:t>
      </w:r>
      <w:r w:rsidRPr="00E53D40">
        <w:rPr>
          <w:rFonts w:asciiTheme="majorHAnsi" w:hAnsiTheme="majorHAnsi"/>
          <w:sz w:val="20"/>
          <w:szCs w:val="20"/>
        </w:rPr>
        <w:t xml:space="preserve"> </w:t>
      </w:r>
    </w:p>
    <w:p w14:paraId="551C19CC" w14:textId="77777777" w:rsidR="00956799" w:rsidRPr="00E53D40" w:rsidRDefault="00956799" w:rsidP="00516175">
      <w:pPr>
        <w:spacing w:line="250" w:lineRule="exact"/>
        <w:ind w:right="-1136"/>
        <w:jc w:val="both"/>
        <w:outlineLvl w:val="0"/>
        <w:rPr>
          <w:rFonts w:asciiTheme="majorHAnsi" w:eastAsiaTheme="minorHAnsi" w:hAnsiTheme="majorHAnsi" w:cstheme="minorBidi"/>
          <w:sz w:val="20"/>
          <w:szCs w:val="20"/>
        </w:rPr>
      </w:pPr>
      <w:r w:rsidRPr="00E53D40">
        <w:rPr>
          <w:rFonts w:asciiTheme="majorHAnsi" w:hAnsiTheme="majorHAnsi"/>
          <w:sz w:val="20"/>
          <w:szCs w:val="20"/>
        </w:rPr>
        <w:t>„WILO SE“</w:t>
      </w:r>
    </w:p>
    <w:p w14:paraId="6C6878CC" w14:textId="7F8CD36D" w:rsidR="00C70288" w:rsidRPr="00E53D40" w:rsidRDefault="00B00BA5" w:rsidP="00C70288">
      <w:pPr>
        <w:spacing w:line="250" w:lineRule="exact"/>
        <w:ind w:right="-1136"/>
        <w:jc w:val="both"/>
        <w:outlineLvl w:val="0"/>
        <w:rPr>
          <w:rFonts w:asciiTheme="majorHAnsi" w:eastAsiaTheme="minorHAnsi" w:hAnsiTheme="majorHAnsi" w:cstheme="minorBidi"/>
          <w:sz w:val="20"/>
          <w:szCs w:val="20"/>
        </w:rPr>
      </w:pPr>
      <w:r w:rsidRPr="00E53D40">
        <w:rPr>
          <w:rFonts w:asciiTheme="majorHAnsi" w:hAnsiTheme="majorHAnsi"/>
          <w:sz w:val="20"/>
          <w:szCs w:val="20"/>
        </w:rPr>
        <w:t>Duomenų apsaugos pareigūnas</w:t>
      </w:r>
    </w:p>
    <w:p w14:paraId="2E4E4CED" w14:textId="0C63F449" w:rsidR="007240D0" w:rsidRPr="00E53D40" w:rsidRDefault="005E1B32" w:rsidP="007240D0">
      <w:pPr>
        <w:rPr>
          <w:rFonts w:asciiTheme="majorHAnsi" w:eastAsia="Calibri" w:hAnsiTheme="majorHAnsi" w:cs="Arial"/>
          <w:sz w:val="20"/>
          <w:szCs w:val="20"/>
        </w:rPr>
      </w:pPr>
      <w:r w:rsidRPr="00E53D40">
        <w:rPr>
          <w:rFonts w:asciiTheme="majorHAnsi" w:hAnsiTheme="majorHAnsi"/>
          <w:sz w:val="20"/>
          <w:szCs w:val="20"/>
        </w:rPr>
        <w:t>Wilopark 1</w:t>
      </w:r>
    </w:p>
    <w:p w14:paraId="25355240" w14:textId="66065AFD" w:rsidR="00956799" w:rsidRPr="00E53D40" w:rsidRDefault="00956799" w:rsidP="00516175">
      <w:pPr>
        <w:spacing w:line="250" w:lineRule="exact"/>
        <w:ind w:right="-1136"/>
        <w:jc w:val="both"/>
        <w:rPr>
          <w:rFonts w:asciiTheme="majorHAnsi" w:eastAsiaTheme="minorHAnsi" w:hAnsiTheme="majorHAnsi" w:cstheme="minorBidi"/>
          <w:sz w:val="20"/>
          <w:szCs w:val="20"/>
        </w:rPr>
      </w:pPr>
      <w:r w:rsidRPr="00E53D40">
        <w:rPr>
          <w:rFonts w:asciiTheme="majorHAnsi" w:hAnsiTheme="majorHAnsi"/>
          <w:sz w:val="20"/>
          <w:szCs w:val="20"/>
        </w:rPr>
        <w:t>44263 Dortmundas</w:t>
      </w:r>
    </w:p>
    <w:p w14:paraId="09A13878" w14:textId="623E3AEB" w:rsidR="00956799" w:rsidRPr="00E53D40" w:rsidRDefault="00F537C1" w:rsidP="00516175">
      <w:pPr>
        <w:spacing w:line="250" w:lineRule="exact"/>
        <w:ind w:right="-1136"/>
        <w:jc w:val="both"/>
        <w:rPr>
          <w:rFonts w:asciiTheme="majorHAnsi" w:eastAsiaTheme="minorHAnsi" w:hAnsiTheme="majorHAnsi" w:cstheme="minorBidi"/>
          <w:sz w:val="20"/>
          <w:szCs w:val="20"/>
        </w:rPr>
      </w:pPr>
      <w:r w:rsidRPr="00E53D40">
        <w:rPr>
          <w:rFonts w:asciiTheme="majorHAnsi" w:hAnsiTheme="majorHAnsi"/>
          <w:sz w:val="20"/>
          <w:szCs w:val="20"/>
        </w:rPr>
        <w:t>Telefonas: +49 231 4102-6161</w:t>
      </w:r>
    </w:p>
    <w:p w14:paraId="0943FA28" w14:textId="1AF25AC6" w:rsidR="00956799" w:rsidRPr="00E53D40" w:rsidRDefault="00DE7862" w:rsidP="00516175">
      <w:pPr>
        <w:spacing w:line="250" w:lineRule="exact"/>
        <w:ind w:right="-1136"/>
        <w:jc w:val="both"/>
        <w:rPr>
          <w:rFonts w:asciiTheme="majorHAnsi" w:eastAsiaTheme="minorHAnsi" w:hAnsiTheme="majorHAnsi" w:cstheme="minorBidi"/>
          <w:color w:val="000000" w:themeColor="hyperlink"/>
          <w:sz w:val="20"/>
          <w:szCs w:val="20"/>
        </w:rPr>
      </w:pPr>
      <w:r w:rsidRPr="00E53D40">
        <w:rPr>
          <w:rFonts w:asciiTheme="majorHAnsi" w:hAnsiTheme="majorHAnsi"/>
          <w:sz w:val="20"/>
          <w:szCs w:val="20"/>
        </w:rPr>
        <w:t xml:space="preserve">El. pašto adresas: </w:t>
      </w:r>
      <w:hyperlink r:id="rId8" w:history="1">
        <w:r w:rsidRPr="00E53D40">
          <w:rPr>
            <w:rStyle w:val="Hyperlink"/>
            <w:rFonts w:asciiTheme="majorHAnsi" w:hAnsiTheme="majorHAnsi"/>
            <w:sz w:val="20"/>
            <w:szCs w:val="20"/>
          </w:rPr>
          <w:t>data-privacy@wilo.com</w:t>
        </w:r>
      </w:hyperlink>
    </w:p>
    <w:p w14:paraId="3FFBC317" w14:textId="77777777" w:rsidR="009907F0" w:rsidRPr="00E53D40" w:rsidRDefault="009907F0" w:rsidP="00516175">
      <w:pPr>
        <w:spacing w:line="250" w:lineRule="exact"/>
        <w:ind w:right="-1136"/>
        <w:jc w:val="both"/>
        <w:rPr>
          <w:rFonts w:asciiTheme="majorHAnsi" w:eastAsiaTheme="minorHAnsi" w:hAnsiTheme="majorHAnsi" w:cstheme="minorBidi"/>
          <w:color w:val="000000" w:themeColor="hyperlink"/>
          <w:sz w:val="20"/>
          <w:szCs w:val="20"/>
          <w:lang w:val="es-ES" w:eastAsia="en-US"/>
        </w:rPr>
      </w:pPr>
    </w:p>
    <w:p w14:paraId="66DFDE18" w14:textId="607B8D9F" w:rsidR="000106B3" w:rsidRPr="00E53D40" w:rsidRDefault="000106B3" w:rsidP="00516175">
      <w:pPr>
        <w:spacing w:line="250" w:lineRule="exact"/>
        <w:ind w:right="-1136"/>
        <w:jc w:val="both"/>
        <w:rPr>
          <w:rFonts w:asciiTheme="majorHAnsi" w:eastAsiaTheme="minorHAnsi" w:hAnsiTheme="majorHAnsi" w:cstheme="minorBidi"/>
          <w:color w:val="000000" w:themeColor="hyperlink"/>
          <w:sz w:val="20"/>
          <w:szCs w:val="20"/>
          <w:lang w:val="es-ES" w:eastAsia="en-US"/>
        </w:rPr>
      </w:pPr>
    </w:p>
    <w:p w14:paraId="2DB6F5C4" w14:textId="00F35ADC" w:rsidR="00956799" w:rsidRPr="00E53D40" w:rsidRDefault="000D144C" w:rsidP="00516175">
      <w:pPr>
        <w:spacing w:line="250" w:lineRule="exact"/>
        <w:ind w:right="-1136"/>
        <w:jc w:val="both"/>
        <w:rPr>
          <w:rFonts w:asciiTheme="majorHAnsi" w:eastAsiaTheme="minorHAnsi" w:hAnsiTheme="majorHAnsi" w:cstheme="minorBidi"/>
          <w:sz w:val="20"/>
          <w:szCs w:val="20"/>
        </w:rPr>
      </w:pPr>
      <w:r w:rsidRPr="00E53D40">
        <w:rPr>
          <w:rFonts w:asciiTheme="majorHAnsi" w:hAnsiTheme="majorHAnsi"/>
          <w:b/>
          <w:color w:val="009C82"/>
          <w:sz w:val="20"/>
          <w:szCs w:val="20"/>
        </w:rPr>
        <w:t>Duomenų naudojimas</w:t>
      </w:r>
    </w:p>
    <w:p w14:paraId="5EFF212A" w14:textId="100A4645" w:rsidR="00956799" w:rsidRPr="00E53D40" w:rsidRDefault="000D144C" w:rsidP="00516175">
      <w:pPr>
        <w:jc w:val="both"/>
        <w:rPr>
          <w:rFonts w:asciiTheme="majorHAnsi" w:eastAsia="Calibri" w:hAnsiTheme="majorHAnsi" w:cs="Arial"/>
          <w:b/>
          <w:color w:val="009C82"/>
          <w:sz w:val="20"/>
          <w:szCs w:val="20"/>
        </w:rPr>
      </w:pPr>
      <w:r w:rsidRPr="00E53D40">
        <w:rPr>
          <w:rFonts w:asciiTheme="majorHAnsi" w:hAnsiTheme="majorHAnsi"/>
          <w:sz w:val="20"/>
          <w:szCs w:val="20"/>
        </w:rPr>
        <w:t>Tvarkome asmens duomenis, kuriuos gauname iš savo klientų, tiekėjų ar kitų trečiųjų šalių, kaip savo verslo santykių dalį. Jeigu to reikia mūsų paslaugoms teikti, taip pat tvarkome asmenį identifikuojančią informaciją, kurią gauname leistinu būdu iš viešai prieinamų šaltinių (pvz., interneto) arba kurią mums pateikia kitos „Wilo Group“ įmonės ar kitos trečiosios šalys.</w:t>
      </w:r>
    </w:p>
    <w:p w14:paraId="7CA8349A" w14:textId="77777777" w:rsidR="00956799" w:rsidRPr="00E53D40" w:rsidRDefault="00956799" w:rsidP="00516175">
      <w:pPr>
        <w:spacing w:line="250" w:lineRule="exact"/>
        <w:jc w:val="both"/>
        <w:rPr>
          <w:rFonts w:asciiTheme="majorHAnsi" w:eastAsiaTheme="minorHAnsi" w:hAnsiTheme="majorHAnsi" w:cstheme="minorBidi"/>
          <w:sz w:val="20"/>
          <w:szCs w:val="20"/>
          <w:lang w:eastAsia="en-US"/>
        </w:rPr>
      </w:pPr>
    </w:p>
    <w:p w14:paraId="5ACDF214" w14:textId="7CD0285E" w:rsidR="000D144C" w:rsidRPr="00E53D40" w:rsidRDefault="000D144C" w:rsidP="00516175">
      <w:pPr>
        <w:jc w:val="both"/>
        <w:rPr>
          <w:rFonts w:asciiTheme="majorHAnsi" w:eastAsia="Calibri" w:hAnsiTheme="majorHAnsi" w:cs="Arial"/>
          <w:sz w:val="20"/>
          <w:szCs w:val="20"/>
        </w:rPr>
      </w:pPr>
      <w:r w:rsidRPr="00E53D40">
        <w:rPr>
          <w:rFonts w:asciiTheme="majorHAnsi" w:hAnsiTheme="majorHAnsi"/>
          <w:sz w:val="20"/>
          <w:szCs w:val="20"/>
        </w:rPr>
        <w:t>Svarbūs asmens duomenys – klientų, tiekėjų ar kitų trečiųjų šalių kontaktinių asmenų asmens duomenys (vardas, pavardė, adresas ir kita kontaktinė informacija). Be to, asmens duomenys taip pat apima su užsakymais susijusią informaciją (pvz., užsakymus ar mokėjimo informaciją), mūsų sutartinių įsipareigojimų vykdymo duomenis, informaciją apie finansinę padėtį (pvz., kredito patikrinimus), reklamos ir pardavimų duomenis, dokumentacijos duomenis (pvz., konsultacijų protokolus) ir kitus duomenis, lyginamus su pirmiau minėtomis kategorijomis.</w:t>
      </w:r>
    </w:p>
    <w:p w14:paraId="377B1D1C" w14:textId="596DD114" w:rsidR="009907F0" w:rsidRPr="00E53D40" w:rsidRDefault="009907F0" w:rsidP="00516175">
      <w:pPr>
        <w:spacing w:line="250" w:lineRule="exact"/>
        <w:jc w:val="both"/>
        <w:rPr>
          <w:rFonts w:asciiTheme="majorHAnsi" w:eastAsiaTheme="minorHAnsi" w:hAnsiTheme="majorHAnsi" w:cstheme="minorBidi"/>
          <w:sz w:val="20"/>
          <w:szCs w:val="20"/>
          <w:lang w:eastAsia="en-US"/>
        </w:rPr>
      </w:pPr>
    </w:p>
    <w:p w14:paraId="64FAD071" w14:textId="709BA572" w:rsidR="009907F0" w:rsidRPr="00E53D40" w:rsidRDefault="009907F0" w:rsidP="00516175">
      <w:pPr>
        <w:spacing w:line="250" w:lineRule="exact"/>
        <w:jc w:val="both"/>
        <w:rPr>
          <w:rFonts w:asciiTheme="majorHAnsi" w:eastAsiaTheme="minorHAnsi" w:hAnsiTheme="majorHAnsi" w:cstheme="minorBidi"/>
          <w:sz w:val="20"/>
          <w:szCs w:val="20"/>
          <w:lang w:eastAsia="en-US"/>
        </w:rPr>
      </w:pPr>
    </w:p>
    <w:p w14:paraId="391E23AC" w14:textId="1B3CD545" w:rsidR="00E002FE" w:rsidRPr="00E53D40" w:rsidRDefault="000D144C" w:rsidP="00516175">
      <w:pPr>
        <w:tabs>
          <w:tab w:val="left" w:pos="9255"/>
        </w:tabs>
        <w:spacing w:line="250" w:lineRule="exact"/>
        <w:ind w:right="-1136"/>
        <w:jc w:val="both"/>
        <w:rPr>
          <w:rFonts w:asciiTheme="majorHAnsi" w:eastAsiaTheme="minorHAnsi" w:hAnsiTheme="majorHAnsi" w:cstheme="minorBidi"/>
          <w:sz w:val="20"/>
          <w:szCs w:val="20"/>
        </w:rPr>
      </w:pPr>
      <w:r w:rsidRPr="00E53D40">
        <w:rPr>
          <w:rFonts w:asciiTheme="majorHAnsi" w:hAnsiTheme="majorHAnsi"/>
          <w:b/>
          <w:color w:val="009C82"/>
          <w:sz w:val="20"/>
          <w:szCs w:val="20"/>
        </w:rPr>
        <w:t>Tvarkymo tikslas</w:t>
      </w:r>
    </w:p>
    <w:p w14:paraId="22221A28" w14:textId="77777777" w:rsidR="000D144C" w:rsidRPr="00E53D40" w:rsidRDefault="000D144C" w:rsidP="00516175">
      <w:pPr>
        <w:jc w:val="both"/>
        <w:rPr>
          <w:rFonts w:asciiTheme="majorHAnsi" w:eastAsia="Calibri" w:hAnsiTheme="majorHAnsi" w:cs="Arial"/>
          <w:b/>
          <w:color w:val="009C82"/>
          <w:sz w:val="20"/>
          <w:szCs w:val="20"/>
        </w:rPr>
      </w:pPr>
      <w:r w:rsidRPr="00E53D40">
        <w:rPr>
          <w:rFonts w:asciiTheme="majorHAnsi" w:hAnsiTheme="majorHAnsi"/>
          <w:sz w:val="20"/>
          <w:szCs w:val="20"/>
        </w:rPr>
        <w:t>Asmens duomenis tvarkome pagal Europos Bendrojo duomenų apsaugos reglamento (BDAR) ir Vokietijos Federalinio duomenų apsaugos įstatymo (DSG) nuostatas.</w:t>
      </w:r>
    </w:p>
    <w:p w14:paraId="4D7CAFC3" w14:textId="241C3E78" w:rsidR="00E002FE" w:rsidRPr="00E53D40" w:rsidRDefault="00E002FE" w:rsidP="00516175">
      <w:pPr>
        <w:jc w:val="both"/>
        <w:rPr>
          <w:rFonts w:asciiTheme="majorHAnsi" w:eastAsia="Calibri" w:hAnsiTheme="majorHAnsi" w:cs="Arial"/>
          <w:sz w:val="20"/>
          <w:szCs w:val="20"/>
          <w:lang w:eastAsia="en-US"/>
        </w:rPr>
      </w:pPr>
    </w:p>
    <w:p w14:paraId="6A954D92" w14:textId="77777777" w:rsidR="000D144C" w:rsidRPr="00E53D40" w:rsidRDefault="000D144C" w:rsidP="00516175">
      <w:pPr>
        <w:jc w:val="both"/>
        <w:rPr>
          <w:rFonts w:asciiTheme="majorHAnsi" w:eastAsia="Calibri" w:hAnsiTheme="majorHAnsi" w:cs="Arial"/>
          <w:sz w:val="20"/>
          <w:szCs w:val="20"/>
          <w:lang w:eastAsia="en-US"/>
        </w:rPr>
      </w:pPr>
    </w:p>
    <w:p w14:paraId="2E402F08" w14:textId="77777777" w:rsidR="00A6017A" w:rsidRPr="00E53D40" w:rsidRDefault="00A6017A" w:rsidP="00516175">
      <w:pPr>
        <w:jc w:val="both"/>
        <w:rPr>
          <w:rFonts w:asciiTheme="majorHAnsi" w:eastAsia="Calibri" w:hAnsiTheme="majorHAnsi" w:cs="Arial"/>
          <w:b/>
          <w:sz w:val="20"/>
          <w:szCs w:val="20"/>
        </w:rPr>
      </w:pPr>
      <w:r w:rsidRPr="00E53D40">
        <w:rPr>
          <w:rFonts w:asciiTheme="majorHAnsi" w:hAnsiTheme="majorHAnsi"/>
          <w:b/>
          <w:sz w:val="20"/>
          <w:szCs w:val="20"/>
        </w:rPr>
        <w:t>Sutartinių įsipareigojimų vykdymas (BDAR 6 straipsnio 1 dalies b punktas)</w:t>
      </w:r>
    </w:p>
    <w:p w14:paraId="16D69620" w14:textId="14F82180" w:rsidR="00E002FE" w:rsidRPr="00E53D40" w:rsidRDefault="00A6017A" w:rsidP="00516175">
      <w:pPr>
        <w:jc w:val="both"/>
        <w:rPr>
          <w:rFonts w:asciiTheme="majorHAnsi" w:eastAsia="Calibri" w:hAnsiTheme="majorHAnsi" w:cs="Arial"/>
          <w:sz w:val="20"/>
          <w:szCs w:val="20"/>
        </w:rPr>
      </w:pPr>
      <w:r w:rsidRPr="00E53D40">
        <w:rPr>
          <w:rFonts w:asciiTheme="majorHAnsi" w:hAnsiTheme="majorHAnsi"/>
          <w:sz w:val="20"/>
          <w:szCs w:val="20"/>
        </w:rPr>
        <w:t xml:space="preserve">Duomenys tvarkomi siekiant vykdyti mūsų komercinius sandorius ir teikti paslaugas, vykdant mūsų sutartis su klientais, tiekėjais ar kitomis trečiosiomis šalimis arba imtis veiksmų duomenų subjekto prašymu prieš sudarant sutartį. Duomenų tvarkymo tikslas susijęs su konkrečiu produktu (pvz., prekių pristatymu, konsultavimu, paslaugų teikimu) ir gali apimti </w:t>
      </w:r>
      <w:r w:rsidRPr="00E53D40">
        <w:rPr>
          <w:rFonts w:asciiTheme="majorHAnsi" w:hAnsiTheme="majorHAnsi"/>
          <w:sz w:val="20"/>
          <w:szCs w:val="20"/>
        </w:rPr>
        <w:lastRenderedPageBreak/>
        <w:t>poreikių analizę, konsultacijas ir sandorių vykdymą. Daugiau informacijos apie duomenų tvarkymo tikslus rasite atitinkamuose sutarties dokumentuose ir sąlygose.</w:t>
      </w:r>
    </w:p>
    <w:p w14:paraId="4CFA435E" w14:textId="77777777" w:rsidR="00A6017A" w:rsidRPr="00E53D40" w:rsidRDefault="00A6017A" w:rsidP="00516175">
      <w:pPr>
        <w:jc w:val="both"/>
        <w:rPr>
          <w:rFonts w:asciiTheme="majorHAnsi" w:eastAsia="Calibri" w:hAnsiTheme="majorHAnsi" w:cs="Arial"/>
          <w:b/>
          <w:sz w:val="20"/>
          <w:szCs w:val="20"/>
        </w:rPr>
      </w:pPr>
      <w:r w:rsidRPr="00E53D40">
        <w:rPr>
          <w:rFonts w:asciiTheme="majorHAnsi" w:hAnsiTheme="majorHAnsi"/>
          <w:b/>
          <w:sz w:val="20"/>
          <w:szCs w:val="20"/>
        </w:rPr>
        <w:t>Atsižvelgiant į interesų derinimą (BDAR 6 straipsnio 1 dalies f punktas)</w:t>
      </w:r>
    </w:p>
    <w:p w14:paraId="37F7578C" w14:textId="77777777" w:rsidR="00A6017A" w:rsidRPr="00E53D40" w:rsidRDefault="00A6017A" w:rsidP="00516175">
      <w:pPr>
        <w:jc w:val="both"/>
        <w:rPr>
          <w:rFonts w:asciiTheme="majorHAnsi" w:eastAsia="Calibri" w:hAnsiTheme="majorHAnsi" w:cs="Arial"/>
          <w:sz w:val="20"/>
          <w:szCs w:val="20"/>
        </w:rPr>
      </w:pPr>
      <w:r w:rsidRPr="00E53D40">
        <w:rPr>
          <w:rFonts w:asciiTheme="majorHAnsi" w:hAnsiTheme="majorHAnsi"/>
          <w:sz w:val="20"/>
          <w:szCs w:val="20"/>
        </w:rPr>
        <w:t>Jei būtina, jūsų duomenis tvarkome ne tik faktiškai vykdydami sutartį, bet ir siekdami apsaugoti teisėtus trečiųjų šalių arba mūsų interesus:</w:t>
      </w:r>
    </w:p>
    <w:p w14:paraId="26E66D01" w14:textId="77777777" w:rsidR="00A6017A" w:rsidRPr="00E53D40" w:rsidRDefault="00A6017A" w:rsidP="00516175">
      <w:pPr>
        <w:jc w:val="both"/>
        <w:rPr>
          <w:rFonts w:asciiTheme="majorHAnsi" w:eastAsia="Calibri" w:hAnsiTheme="majorHAnsi" w:cs="Arial"/>
          <w:sz w:val="20"/>
          <w:szCs w:val="20"/>
          <w:lang w:eastAsia="en-US"/>
        </w:rPr>
      </w:pPr>
    </w:p>
    <w:p w14:paraId="70F07C5A"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peržiūrėti ir gerinti tiesioginio klientų požiūrio reikalavimų analizės procedūras,</w:t>
      </w:r>
    </w:p>
    <w:p w14:paraId="54DF835A"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kurti tvirtus bei tvarius santykius su klientais, tiekėjais ir trečiosiomis šalimis, užtikrinant veiksmingą komunikaciją; užtikrinti didelį skaidrumą,</w:t>
      </w:r>
    </w:p>
    <w:p w14:paraId="1DBEFAE0"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atlikti reklamos arba rinkos ir nuomonės tyrimus, jei neprieštaraujate dėl jūsų duomenų naudojimo,</w:t>
      </w:r>
    </w:p>
    <w:p w14:paraId="42AB1B6C"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įgyvendinti verslo kontrolės ir tolesnio paslaugų ir produktų plėtros priemones,</w:t>
      </w:r>
    </w:p>
    <w:p w14:paraId="3947D2FB"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konsultuoti ir keistis duomenimis su kredito biurais (pvz., „SCHUFA“), siekiant nustatyti kredito ir įsipareigojimų neįvykdymo riziką,</w:t>
      </w:r>
    </w:p>
    <w:p w14:paraId="1375AB5F"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valdyti riziką „Wilo Group“ įmonėse,</w:t>
      </w:r>
    </w:p>
    <w:p w14:paraId="243C1A3B"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tvirtinti teisines pretenzijas ir ginti teisminiuose ginčuose,</w:t>
      </w:r>
    </w:p>
    <w:p w14:paraId="30C6FE2F" w14:textId="41505A6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užtikrinti įmonės IT saugumą ir IT operacijas,</w:t>
      </w:r>
    </w:p>
    <w:p w14:paraId="42A8F26A" w14:textId="1AE9E615" w:rsidR="000B05C2" w:rsidRPr="00E53D40" w:rsidRDefault="000B05C2" w:rsidP="000B05C2">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vykdyti vaizdo stebėjimą, skirtą pastatų teisėms užtikrinti ir įrodymams rinkti įsilaužimo ar vagystės atveju, taip pat kitų priemonių pastatų teisėms užtikrinti taikymas,</w:t>
      </w:r>
    </w:p>
    <w:p w14:paraId="1C4D2CF6" w14:textId="77777777"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imtis pastatų ir įrenginių saugos priemonių (pvz., įeigos kontrolės),</w:t>
      </w:r>
    </w:p>
    <w:p w14:paraId="57C28799" w14:textId="05A29E6F" w:rsidR="00A6017A" w:rsidRPr="00E53D40" w:rsidRDefault="00A6017A"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vykdyti nusikalstamų veikų prevenciją ir tyrimus.</w:t>
      </w:r>
    </w:p>
    <w:p w14:paraId="4AA4C47E" w14:textId="114C0416" w:rsidR="00DB35C2" w:rsidRPr="00E53D40" w:rsidRDefault="00DB35C2"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Tarpvalstybinės įmonės</w:t>
      </w:r>
    </w:p>
    <w:p w14:paraId="4BF68D58" w14:textId="4D22C4F7" w:rsidR="00DB35C2" w:rsidRPr="00E53D40" w:rsidRDefault="00DB35C2" w:rsidP="00516175">
      <w:pPr>
        <w:numPr>
          <w:ilvl w:val="0"/>
          <w:numId w:val="9"/>
        </w:numPr>
        <w:contextualSpacing/>
        <w:jc w:val="both"/>
        <w:rPr>
          <w:rFonts w:asciiTheme="majorHAnsi" w:eastAsia="Calibri" w:hAnsiTheme="majorHAnsi" w:cs="Arial"/>
          <w:sz w:val="20"/>
          <w:szCs w:val="20"/>
        </w:rPr>
      </w:pPr>
      <w:r w:rsidRPr="00E53D40">
        <w:rPr>
          <w:rFonts w:asciiTheme="majorHAnsi" w:hAnsiTheme="majorHAnsi"/>
          <w:sz w:val="20"/>
          <w:szCs w:val="20"/>
        </w:rPr>
        <w:t>Tarptautiniai projektai</w:t>
      </w:r>
    </w:p>
    <w:p w14:paraId="7F394FBD" w14:textId="77777777" w:rsidR="000106B3" w:rsidRPr="00E53D40" w:rsidRDefault="000106B3" w:rsidP="00516175">
      <w:pPr>
        <w:tabs>
          <w:tab w:val="num" w:pos="454"/>
        </w:tabs>
        <w:spacing w:line="250" w:lineRule="exact"/>
        <w:ind w:right="-1136"/>
        <w:jc w:val="both"/>
        <w:rPr>
          <w:rFonts w:asciiTheme="majorHAnsi" w:eastAsiaTheme="minorHAnsi" w:hAnsiTheme="majorHAnsi" w:cstheme="minorBidi"/>
          <w:sz w:val="20"/>
          <w:szCs w:val="20"/>
          <w:lang w:val="en-US" w:eastAsia="en-US"/>
        </w:rPr>
      </w:pPr>
    </w:p>
    <w:p w14:paraId="7BE241F1" w14:textId="77777777" w:rsidR="00A6017A" w:rsidRPr="00E53D40" w:rsidRDefault="00A6017A" w:rsidP="00516175">
      <w:pPr>
        <w:jc w:val="both"/>
        <w:rPr>
          <w:rFonts w:asciiTheme="majorHAnsi" w:eastAsia="Calibri" w:hAnsiTheme="majorHAnsi" w:cs="Arial"/>
          <w:b/>
          <w:sz w:val="20"/>
          <w:szCs w:val="20"/>
        </w:rPr>
      </w:pPr>
      <w:r w:rsidRPr="00E53D40">
        <w:rPr>
          <w:rFonts w:asciiTheme="majorHAnsi" w:hAnsiTheme="majorHAnsi"/>
          <w:b/>
          <w:sz w:val="20"/>
          <w:szCs w:val="20"/>
        </w:rPr>
        <w:t>Remiantis jūsų sutikimu (BDAR 6 straipsnio 1 dalies a punktas)</w:t>
      </w:r>
    </w:p>
    <w:p w14:paraId="666C0C88" w14:textId="489C4D6F" w:rsidR="000106B3" w:rsidRPr="00E53D40" w:rsidRDefault="00013A7F" w:rsidP="00516175">
      <w:pPr>
        <w:jc w:val="both"/>
        <w:rPr>
          <w:rFonts w:asciiTheme="majorHAnsi" w:eastAsia="Calibri" w:hAnsiTheme="majorHAnsi" w:cs="Arial"/>
          <w:sz w:val="20"/>
          <w:szCs w:val="20"/>
        </w:rPr>
      </w:pPr>
      <w:r w:rsidRPr="00E53D40">
        <w:rPr>
          <w:rFonts w:asciiTheme="majorHAnsi" w:hAnsiTheme="majorHAnsi"/>
          <w:sz w:val="20"/>
          <w:szCs w:val="20"/>
        </w:rPr>
        <w:t>Jei davėte sutikimą tvarkyti asmens duomenis konkrečiais tikslais (pvz., naujienlaiškių siuntimas, pirkėjų elgsenos vertinimas rinkodaros tikslais, registracija programėlėse ir portaluose, dalyvavimas apklausose), tokio tvarkymo teisėtumas grindžiamas jūsų sutikimu. Duotą sutikimą galite atšaukti bet kuriuo metu ateityje. Sutikimo atšaukimas neturi įtakos duomenų, kurie buvo tvarkomi iki atšaukimo, teisėtumui.</w:t>
      </w:r>
    </w:p>
    <w:p w14:paraId="40C4923E" w14:textId="59840B63" w:rsidR="00A6017A" w:rsidRPr="00E53D40" w:rsidRDefault="00420203" w:rsidP="00516175">
      <w:pPr>
        <w:jc w:val="both"/>
        <w:rPr>
          <w:rFonts w:asciiTheme="majorHAnsi" w:eastAsia="Calibri" w:hAnsiTheme="majorHAnsi" w:cs="Arial"/>
          <w:sz w:val="20"/>
          <w:szCs w:val="20"/>
        </w:rPr>
      </w:pPr>
      <w:r w:rsidRPr="00E53D40">
        <w:rPr>
          <w:rFonts w:asciiTheme="majorHAnsi" w:hAnsiTheme="majorHAnsi"/>
          <w:sz w:val="20"/>
          <w:szCs w:val="20"/>
        </w:rPr>
        <w:t xml:space="preserve"> </w:t>
      </w:r>
    </w:p>
    <w:p w14:paraId="1D2486A9" w14:textId="77777777" w:rsidR="00A6017A" w:rsidRPr="00E53D40" w:rsidRDefault="00A6017A" w:rsidP="00516175">
      <w:pPr>
        <w:jc w:val="both"/>
        <w:rPr>
          <w:rFonts w:asciiTheme="majorHAnsi" w:eastAsia="Calibri" w:hAnsiTheme="majorHAnsi" w:cs="Arial"/>
          <w:b/>
          <w:sz w:val="20"/>
          <w:szCs w:val="20"/>
        </w:rPr>
      </w:pPr>
      <w:r w:rsidRPr="00E53D40">
        <w:rPr>
          <w:rFonts w:asciiTheme="majorHAnsi" w:hAnsiTheme="majorHAnsi"/>
          <w:b/>
          <w:sz w:val="20"/>
          <w:szCs w:val="20"/>
        </w:rPr>
        <w:t>Dėl teisinių reikalavimų (BDAR 6 straipsnio 1 dalies c punktas) arba dėl viešojo intereso (BDAR 6 straipsnio 1 dalies e punktas)</w:t>
      </w:r>
    </w:p>
    <w:p w14:paraId="70CB395F" w14:textId="24E81143" w:rsidR="000106B3" w:rsidRPr="00E53D40" w:rsidRDefault="00A6017A" w:rsidP="00516175">
      <w:pPr>
        <w:jc w:val="both"/>
        <w:rPr>
          <w:rFonts w:asciiTheme="majorHAnsi" w:eastAsia="Calibri" w:hAnsiTheme="majorHAnsi" w:cs="Arial"/>
          <w:sz w:val="20"/>
          <w:szCs w:val="20"/>
        </w:rPr>
      </w:pPr>
      <w:r w:rsidRPr="00E53D40">
        <w:rPr>
          <w:rFonts w:asciiTheme="majorHAnsi" w:hAnsiTheme="majorHAnsi"/>
          <w:sz w:val="20"/>
          <w:szCs w:val="20"/>
        </w:rPr>
        <w:t>Mums, kaip tarptautinei įmonei, taikomi įvairūs teisiniai įsipareigojimai, t. y. teisiniai reikalavimai (pavyzdžiui, pinigų plovimo įstatymas, mokesčių įstatymai). Duomenų tvarkymo tikslai apima kredito patikrą, asmens tapatybės patikrą, sukčiavimo ir pinigų plovimo prevenciją, taip pat grupės rizikos vertinimą bei valdymą.</w:t>
      </w:r>
    </w:p>
    <w:p w14:paraId="5B6630BB" w14:textId="0432C9EE" w:rsidR="002779CC" w:rsidRPr="00E53D40" w:rsidRDefault="002779CC" w:rsidP="00516175">
      <w:pPr>
        <w:jc w:val="both"/>
        <w:rPr>
          <w:rFonts w:asciiTheme="majorHAnsi" w:eastAsia="Calibri" w:hAnsiTheme="majorHAnsi" w:cs="Arial"/>
          <w:sz w:val="20"/>
          <w:szCs w:val="20"/>
          <w:lang w:eastAsia="en-US"/>
        </w:rPr>
      </w:pPr>
    </w:p>
    <w:p w14:paraId="67C3704E" w14:textId="77777777" w:rsidR="002779CC" w:rsidRPr="00E53D40" w:rsidRDefault="002779CC" w:rsidP="00516175">
      <w:pPr>
        <w:jc w:val="both"/>
        <w:rPr>
          <w:rFonts w:asciiTheme="majorHAnsi" w:eastAsia="Calibri" w:hAnsiTheme="majorHAnsi" w:cs="Arial"/>
          <w:sz w:val="20"/>
          <w:szCs w:val="20"/>
          <w:lang w:eastAsia="en-US"/>
        </w:rPr>
      </w:pPr>
    </w:p>
    <w:p w14:paraId="1D37DBAD" w14:textId="1AD078CB" w:rsidR="002779CC" w:rsidRPr="00E53D40" w:rsidRDefault="00B72450" w:rsidP="00516175">
      <w:pPr>
        <w:spacing w:line="250" w:lineRule="exact"/>
        <w:jc w:val="both"/>
        <w:rPr>
          <w:rFonts w:asciiTheme="majorHAnsi" w:eastAsiaTheme="minorHAnsi" w:hAnsiTheme="majorHAnsi" w:cstheme="minorBidi"/>
          <w:sz w:val="20"/>
          <w:szCs w:val="20"/>
        </w:rPr>
      </w:pPr>
      <w:r w:rsidRPr="00E53D40">
        <w:rPr>
          <w:rFonts w:asciiTheme="majorHAnsi" w:hAnsiTheme="majorHAnsi"/>
          <w:b/>
          <w:color w:val="009C82"/>
          <w:sz w:val="20"/>
          <w:szCs w:val="20"/>
        </w:rPr>
        <w:t>Duomenų gavėjai</w:t>
      </w:r>
    </w:p>
    <w:p w14:paraId="6377249F" w14:textId="77777777" w:rsidR="00B72450" w:rsidRPr="00E53D40" w:rsidRDefault="00B72450" w:rsidP="00516175">
      <w:pPr>
        <w:jc w:val="both"/>
        <w:rPr>
          <w:rFonts w:asciiTheme="majorHAnsi" w:eastAsia="Calibri" w:hAnsiTheme="majorHAnsi" w:cs="Arial"/>
          <w:sz w:val="20"/>
          <w:szCs w:val="20"/>
        </w:rPr>
      </w:pPr>
      <w:r w:rsidRPr="00E53D40">
        <w:rPr>
          <w:rFonts w:asciiTheme="majorHAnsi" w:hAnsiTheme="majorHAnsi"/>
          <w:sz w:val="20"/>
          <w:szCs w:val="20"/>
        </w:rPr>
        <w:t>Mūsų organizacijoje prie jūsų duomenų gauna prieigą tik tie subjektai ir (arba) funkcijos, kurioms jų reikia sutartiniams ir teisiniams įsipareigojimams vykdyti. Šiais tikslais duomenis taip pat gali gauti mūsų paslaugų teikėjai ir netiesioginiai subjektai. Pavyzdžiui, IT paslaugų, logistikos, spausdinimo paslaugų, telekomunikacijų, skolų išieškojimo, konsultavimo, taip pat pardavimo ir rinkodaros kategorijų įmonės.</w:t>
      </w:r>
    </w:p>
    <w:p w14:paraId="6CC4C27F" w14:textId="77777777" w:rsidR="00B72450" w:rsidRPr="00E53D40" w:rsidRDefault="00B72450" w:rsidP="00516175">
      <w:pPr>
        <w:jc w:val="both"/>
        <w:rPr>
          <w:rFonts w:asciiTheme="majorHAnsi" w:eastAsia="Calibri" w:hAnsiTheme="majorHAnsi" w:cs="Arial"/>
          <w:sz w:val="20"/>
          <w:szCs w:val="20"/>
          <w:lang w:eastAsia="en-US"/>
        </w:rPr>
      </w:pPr>
    </w:p>
    <w:p w14:paraId="53668110" w14:textId="77777777" w:rsidR="00B72450" w:rsidRPr="00E53D40" w:rsidRDefault="00B72450" w:rsidP="00516175">
      <w:pPr>
        <w:jc w:val="both"/>
        <w:rPr>
          <w:rFonts w:asciiTheme="majorHAnsi" w:eastAsia="Calibri" w:hAnsiTheme="majorHAnsi" w:cs="Arial"/>
          <w:sz w:val="20"/>
          <w:szCs w:val="20"/>
        </w:rPr>
      </w:pPr>
      <w:r w:rsidRPr="00E53D40">
        <w:rPr>
          <w:rFonts w:asciiTheme="majorHAnsi" w:hAnsiTheme="majorHAnsi"/>
          <w:sz w:val="20"/>
          <w:szCs w:val="20"/>
        </w:rPr>
        <w:t xml:space="preserve">Dėl duomenų perdavimo gavėjams už mūsų įmonės ribų: visi mūsų darbuotojai, dirbantys su asmens duomenimis, laikosi duomenų slaptumo ir konfidencialumo reikalavimų ir yra susipažinę su visais atitinkamais duomenų apsaugos teisės aktais. </w:t>
      </w:r>
    </w:p>
    <w:p w14:paraId="1E7237A1" w14:textId="77777777" w:rsidR="00B72450" w:rsidRPr="00E53D40" w:rsidRDefault="00B72450" w:rsidP="00516175">
      <w:pPr>
        <w:jc w:val="both"/>
        <w:rPr>
          <w:rFonts w:asciiTheme="majorHAnsi" w:eastAsia="Calibri" w:hAnsiTheme="majorHAnsi" w:cs="Arial"/>
          <w:sz w:val="20"/>
          <w:szCs w:val="20"/>
          <w:lang w:eastAsia="en-US"/>
        </w:rPr>
      </w:pPr>
    </w:p>
    <w:p w14:paraId="1ECCD5C9" w14:textId="6F46A6BC" w:rsidR="00B72450" w:rsidRPr="00E53D40" w:rsidRDefault="00B72450" w:rsidP="00516175">
      <w:pPr>
        <w:jc w:val="both"/>
        <w:rPr>
          <w:rFonts w:asciiTheme="majorHAnsi" w:eastAsia="Calibri" w:hAnsiTheme="majorHAnsi" w:cs="Arial"/>
          <w:sz w:val="20"/>
          <w:szCs w:val="20"/>
        </w:rPr>
      </w:pPr>
      <w:r w:rsidRPr="00E53D40">
        <w:rPr>
          <w:rFonts w:asciiTheme="majorHAnsi" w:hAnsiTheme="majorHAnsi"/>
          <w:sz w:val="20"/>
          <w:szCs w:val="20"/>
        </w:rPr>
        <w:t>Informaciją apie jus perduodame tik tuo atveju, jei to reikalauja įstatymai arba yra jūsų sutikimas. Atsižvelgiant į šias sąlygas, duomenų gavėjai gali būti:</w:t>
      </w:r>
    </w:p>
    <w:p w14:paraId="04775A95" w14:textId="77777777" w:rsidR="00B72450" w:rsidRPr="00E53D40" w:rsidRDefault="00B72450" w:rsidP="00516175">
      <w:pPr>
        <w:jc w:val="both"/>
        <w:rPr>
          <w:rFonts w:asciiTheme="majorHAnsi" w:eastAsia="Calibri" w:hAnsiTheme="majorHAnsi" w:cs="Arial"/>
          <w:sz w:val="20"/>
          <w:szCs w:val="20"/>
          <w:lang w:val="en-US" w:eastAsia="en-US"/>
        </w:rPr>
      </w:pPr>
    </w:p>
    <w:p w14:paraId="115C32AB" w14:textId="43F9D270" w:rsidR="00B72450" w:rsidRPr="00E53D40" w:rsidRDefault="00B72450" w:rsidP="00F86D3A">
      <w:pPr>
        <w:numPr>
          <w:ilvl w:val="0"/>
          <w:numId w:val="4"/>
        </w:numPr>
        <w:tabs>
          <w:tab w:val="num" w:pos="454"/>
        </w:tabs>
        <w:spacing w:line="250" w:lineRule="exact"/>
        <w:ind w:left="454" w:hanging="284"/>
        <w:contextualSpacing/>
        <w:jc w:val="both"/>
        <w:rPr>
          <w:rFonts w:asciiTheme="majorHAnsi" w:eastAsiaTheme="minorHAnsi" w:hAnsiTheme="majorHAnsi" w:cstheme="minorBidi"/>
          <w:sz w:val="20"/>
          <w:szCs w:val="20"/>
        </w:rPr>
      </w:pPr>
      <w:r w:rsidRPr="00E53D40">
        <w:rPr>
          <w:rFonts w:asciiTheme="majorHAnsi" w:hAnsiTheme="majorHAnsi"/>
          <w:sz w:val="20"/>
          <w:szCs w:val="20"/>
        </w:rPr>
        <w:t>valstybinės įstaigos ir institucijos (pvz., mokesčių inspekcijos, teisėsaugos institucijos), jei yra teisinė ar reguliavimo prievolė.</w:t>
      </w:r>
    </w:p>
    <w:p w14:paraId="00F1FB61" w14:textId="057F2009" w:rsidR="00B72450" w:rsidRPr="00E53D40" w:rsidRDefault="00E179DB" w:rsidP="00516175">
      <w:pPr>
        <w:numPr>
          <w:ilvl w:val="0"/>
          <w:numId w:val="4"/>
        </w:numPr>
        <w:tabs>
          <w:tab w:val="num" w:pos="454"/>
        </w:tabs>
        <w:spacing w:line="250" w:lineRule="exact"/>
        <w:ind w:left="454" w:hanging="284"/>
        <w:contextualSpacing/>
        <w:jc w:val="both"/>
        <w:rPr>
          <w:rFonts w:asciiTheme="majorHAnsi" w:eastAsiaTheme="minorHAnsi" w:hAnsiTheme="majorHAnsi" w:cstheme="minorBidi"/>
          <w:sz w:val="20"/>
          <w:szCs w:val="20"/>
        </w:rPr>
      </w:pPr>
      <w:r w:rsidRPr="00E53D40">
        <w:rPr>
          <w:rFonts w:asciiTheme="majorHAnsi" w:hAnsiTheme="majorHAnsi"/>
          <w:sz w:val="20"/>
          <w:szCs w:val="20"/>
        </w:rPr>
        <w:lastRenderedPageBreak/>
        <w:t>Kitos grupės įmonės ar įmonės, kurioms teikiame asmeninę informaciją, siekdami su jumis palaikyti verslo santykius (priklausomai nuo sutarties, pvz., katalogų siuntimo paštas, kredito agentūrų pasiūlymai ir pan.).</w:t>
      </w:r>
    </w:p>
    <w:p w14:paraId="1AD5BE8B" w14:textId="315CCCE2" w:rsidR="002779CC" w:rsidRPr="00E53D40" w:rsidRDefault="002779CC" w:rsidP="00516175">
      <w:pPr>
        <w:spacing w:line="250" w:lineRule="exact"/>
        <w:ind w:right="-1136"/>
        <w:contextualSpacing/>
        <w:jc w:val="both"/>
        <w:rPr>
          <w:rFonts w:asciiTheme="majorHAnsi" w:eastAsiaTheme="minorHAnsi" w:hAnsiTheme="majorHAnsi" w:cstheme="minorBidi"/>
          <w:sz w:val="20"/>
          <w:szCs w:val="20"/>
          <w:lang w:eastAsia="en-US"/>
        </w:rPr>
      </w:pPr>
    </w:p>
    <w:p w14:paraId="34812511" w14:textId="77777777" w:rsidR="00516175" w:rsidRPr="00E53D40" w:rsidRDefault="00516175" w:rsidP="00516175">
      <w:pPr>
        <w:numPr>
          <w:ilvl w:val="0"/>
          <w:numId w:val="4"/>
        </w:numPr>
        <w:tabs>
          <w:tab w:val="num" w:pos="454"/>
        </w:tabs>
        <w:spacing w:line="250" w:lineRule="exact"/>
        <w:ind w:left="454" w:hanging="284"/>
        <w:contextualSpacing/>
        <w:jc w:val="both"/>
        <w:rPr>
          <w:rFonts w:asciiTheme="majorHAnsi" w:eastAsiaTheme="minorHAnsi" w:hAnsiTheme="majorHAnsi" w:cstheme="minorBidi"/>
          <w:sz w:val="20"/>
          <w:szCs w:val="20"/>
        </w:rPr>
      </w:pPr>
      <w:r w:rsidRPr="00E53D40">
        <w:rPr>
          <w:rFonts w:asciiTheme="majorHAnsi" w:hAnsiTheme="majorHAnsi"/>
          <w:sz w:val="20"/>
          <w:szCs w:val="20"/>
        </w:rPr>
        <w:t>Kitos grupės įmonės, atsakingos už rizikos valdymą dėl įstatymais ar kitais teisės aktais nustatytų įpareigojimų.</w:t>
      </w:r>
    </w:p>
    <w:p w14:paraId="112C1F03" w14:textId="77777777" w:rsidR="002779CC" w:rsidRPr="00E53D40" w:rsidRDefault="002779CC" w:rsidP="00516175">
      <w:pPr>
        <w:spacing w:line="250" w:lineRule="exact"/>
        <w:ind w:left="720" w:right="-1136"/>
        <w:contextualSpacing/>
        <w:jc w:val="both"/>
        <w:rPr>
          <w:rFonts w:asciiTheme="majorHAnsi" w:eastAsiaTheme="minorHAnsi" w:hAnsiTheme="majorHAnsi" w:cstheme="minorBidi"/>
          <w:sz w:val="20"/>
          <w:szCs w:val="20"/>
          <w:lang w:eastAsia="en-US"/>
        </w:rPr>
      </w:pPr>
    </w:p>
    <w:p w14:paraId="6998CB09" w14:textId="77777777" w:rsidR="00516175" w:rsidRPr="00E53D40" w:rsidRDefault="00516175" w:rsidP="00516175">
      <w:pPr>
        <w:jc w:val="both"/>
        <w:rPr>
          <w:rFonts w:asciiTheme="majorHAnsi" w:eastAsia="Calibri" w:hAnsiTheme="majorHAnsi" w:cs="Arial"/>
          <w:sz w:val="20"/>
          <w:szCs w:val="20"/>
        </w:rPr>
      </w:pPr>
      <w:r w:rsidRPr="00E53D40">
        <w:rPr>
          <w:rFonts w:asciiTheme="majorHAnsi" w:hAnsiTheme="majorHAnsi"/>
          <w:sz w:val="20"/>
          <w:szCs w:val="20"/>
        </w:rPr>
        <w:t>Kiti duomenų gavėjai gali būti subjektai, kuriems davėte sutikimą pateikti duomenis.</w:t>
      </w:r>
    </w:p>
    <w:p w14:paraId="5FB271D7" w14:textId="77777777" w:rsidR="009907F0" w:rsidRPr="00E53D40" w:rsidRDefault="009907F0" w:rsidP="00516175">
      <w:pPr>
        <w:spacing w:line="250" w:lineRule="exact"/>
        <w:jc w:val="both"/>
        <w:rPr>
          <w:rFonts w:asciiTheme="majorHAnsi" w:eastAsiaTheme="minorHAnsi" w:hAnsiTheme="majorHAnsi" w:cstheme="minorBidi"/>
          <w:sz w:val="20"/>
          <w:szCs w:val="20"/>
          <w:lang w:eastAsia="en-US"/>
        </w:rPr>
      </w:pPr>
    </w:p>
    <w:p w14:paraId="642D66CB" w14:textId="7F1CD74A" w:rsidR="002779CC" w:rsidRPr="00E53D40" w:rsidRDefault="002779CC" w:rsidP="00516175">
      <w:pPr>
        <w:spacing w:line="250" w:lineRule="exact"/>
        <w:jc w:val="both"/>
        <w:rPr>
          <w:rFonts w:asciiTheme="majorHAnsi" w:eastAsiaTheme="minorHAnsi" w:hAnsiTheme="majorHAnsi" w:cstheme="minorBidi"/>
          <w:sz w:val="20"/>
          <w:szCs w:val="20"/>
          <w:lang w:eastAsia="en-US"/>
        </w:rPr>
      </w:pPr>
    </w:p>
    <w:p w14:paraId="550AFF68" w14:textId="77777777" w:rsidR="00516175" w:rsidRPr="00E53D40" w:rsidRDefault="00516175" w:rsidP="00516175">
      <w:pPr>
        <w:jc w:val="both"/>
        <w:rPr>
          <w:rFonts w:asciiTheme="majorHAnsi" w:eastAsia="Calibri" w:hAnsiTheme="majorHAnsi" w:cs="Arial"/>
          <w:sz w:val="20"/>
          <w:szCs w:val="20"/>
        </w:rPr>
      </w:pPr>
      <w:r w:rsidRPr="00E53D40">
        <w:rPr>
          <w:rFonts w:asciiTheme="majorHAnsi" w:hAnsiTheme="majorHAnsi"/>
          <w:b/>
          <w:color w:val="009C82"/>
          <w:sz w:val="20"/>
          <w:szCs w:val="20"/>
        </w:rPr>
        <w:t>Duomenų perdavimas trečiajai šaliai arba tarptautinei organizacijai</w:t>
      </w:r>
    </w:p>
    <w:p w14:paraId="45211174" w14:textId="77777777" w:rsidR="00516175" w:rsidRPr="00E53D40" w:rsidRDefault="00516175" w:rsidP="00516175">
      <w:pPr>
        <w:jc w:val="both"/>
        <w:rPr>
          <w:rFonts w:asciiTheme="majorHAnsi" w:eastAsia="Calibri" w:hAnsiTheme="majorHAnsi" w:cs="Arial"/>
          <w:sz w:val="20"/>
          <w:szCs w:val="20"/>
        </w:rPr>
      </w:pPr>
      <w:r w:rsidRPr="00E53D40">
        <w:rPr>
          <w:rFonts w:asciiTheme="majorHAnsi" w:hAnsiTheme="majorHAnsi"/>
          <w:sz w:val="20"/>
          <w:szCs w:val="20"/>
        </w:rPr>
        <w:t>Duomenys perduodami į biurus ne Europos Sąjungos šalyse (vadinamosiose trečiosiose šalyse), jei tai</w:t>
      </w:r>
    </w:p>
    <w:p w14:paraId="20A7774B" w14:textId="77777777" w:rsidR="00516175" w:rsidRPr="00E53D40" w:rsidRDefault="00516175" w:rsidP="00516175">
      <w:pPr>
        <w:jc w:val="both"/>
        <w:rPr>
          <w:rFonts w:asciiTheme="majorHAnsi" w:eastAsia="Calibri" w:hAnsiTheme="majorHAnsi" w:cs="Arial"/>
          <w:sz w:val="20"/>
          <w:szCs w:val="20"/>
          <w:lang w:eastAsia="en-US"/>
        </w:rPr>
      </w:pPr>
    </w:p>
    <w:p w14:paraId="6A6FB032" w14:textId="30F59C9B" w:rsidR="00DB35C2" w:rsidRPr="00E53D40" w:rsidRDefault="00516175" w:rsidP="00DB35C2">
      <w:pPr>
        <w:numPr>
          <w:ilvl w:val="0"/>
          <w:numId w:val="11"/>
        </w:numPr>
        <w:contextualSpacing/>
        <w:jc w:val="both"/>
        <w:rPr>
          <w:rFonts w:asciiTheme="majorHAnsi" w:eastAsia="Calibri" w:hAnsiTheme="majorHAnsi" w:cs="Arial"/>
          <w:sz w:val="20"/>
          <w:szCs w:val="20"/>
        </w:rPr>
      </w:pPr>
      <w:r w:rsidRPr="00E53D40">
        <w:rPr>
          <w:rFonts w:asciiTheme="majorHAnsi" w:hAnsiTheme="majorHAnsi"/>
          <w:sz w:val="20"/>
          <w:szCs w:val="20"/>
        </w:rPr>
        <w:t>būtina jūsų užsakymams vykdyti (pvz., katalogų siuntimui, gamybos ar paslaugų užsakymui),</w:t>
      </w:r>
    </w:p>
    <w:p w14:paraId="12954A11" w14:textId="5985AE17" w:rsidR="00516175" w:rsidRPr="00E53D40" w:rsidRDefault="00516175" w:rsidP="00516175">
      <w:pPr>
        <w:numPr>
          <w:ilvl w:val="0"/>
          <w:numId w:val="11"/>
        </w:numPr>
        <w:contextualSpacing/>
        <w:jc w:val="both"/>
        <w:rPr>
          <w:rFonts w:asciiTheme="majorHAnsi" w:eastAsia="Calibri" w:hAnsiTheme="majorHAnsi" w:cs="Arial"/>
          <w:sz w:val="20"/>
          <w:szCs w:val="20"/>
        </w:rPr>
      </w:pPr>
      <w:r w:rsidRPr="00E53D40">
        <w:rPr>
          <w:rFonts w:asciiTheme="majorHAnsi" w:hAnsiTheme="majorHAnsi"/>
          <w:sz w:val="20"/>
          <w:szCs w:val="20"/>
        </w:rPr>
        <w:t>to reikalauja įstatymai (pvz., mokesčių ataskaitų teikimo prievolės) arba</w:t>
      </w:r>
    </w:p>
    <w:p w14:paraId="78748E24" w14:textId="3F9C19A1" w:rsidR="00DB35C2" w:rsidRPr="00E53D40" w:rsidRDefault="00DB35C2" w:rsidP="00516175">
      <w:pPr>
        <w:numPr>
          <w:ilvl w:val="0"/>
          <w:numId w:val="11"/>
        </w:numPr>
        <w:contextualSpacing/>
        <w:jc w:val="both"/>
        <w:rPr>
          <w:rFonts w:asciiTheme="majorHAnsi" w:eastAsia="Calibri" w:hAnsiTheme="majorHAnsi" w:cs="Arial"/>
          <w:sz w:val="20"/>
          <w:szCs w:val="20"/>
        </w:rPr>
      </w:pPr>
      <w:r w:rsidRPr="00E53D40">
        <w:rPr>
          <w:rFonts w:asciiTheme="majorHAnsi" w:hAnsiTheme="majorHAnsi"/>
          <w:sz w:val="20"/>
          <w:szCs w:val="20"/>
        </w:rPr>
        <w:t>esame teisiškai įgalioti tai daryti (pvz., dėl to, kad davėte mums savo sutikimą arba dėl teisėto mūsų intereso).</w:t>
      </w:r>
    </w:p>
    <w:p w14:paraId="3B1EB018" w14:textId="77777777" w:rsidR="00516175" w:rsidRPr="00E53D40" w:rsidRDefault="00516175" w:rsidP="00516175">
      <w:pPr>
        <w:jc w:val="both"/>
        <w:rPr>
          <w:rFonts w:asciiTheme="majorHAnsi" w:eastAsia="Calibri" w:hAnsiTheme="majorHAnsi" w:cs="Arial"/>
          <w:sz w:val="20"/>
          <w:szCs w:val="20"/>
          <w:lang w:eastAsia="en-US"/>
        </w:rPr>
      </w:pPr>
    </w:p>
    <w:p w14:paraId="23566482" w14:textId="77777777" w:rsidR="00516175" w:rsidRPr="00E53D40" w:rsidRDefault="00516175" w:rsidP="00516175">
      <w:pPr>
        <w:jc w:val="both"/>
        <w:rPr>
          <w:rFonts w:asciiTheme="majorHAnsi" w:eastAsia="Calibri" w:hAnsiTheme="majorHAnsi" w:cs="Arial"/>
          <w:sz w:val="20"/>
          <w:szCs w:val="20"/>
        </w:rPr>
      </w:pPr>
      <w:r w:rsidRPr="00E53D40">
        <w:rPr>
          <w:rFonts w:asciiTheme="majorHAnsi" w:hAnsiTheme="majorHAnsi"/>
          <w:sz w:val="20"/>
          <w:szCs w:val="20"/>
        </w:rPr>
        <w:t xml:space="preserve">Be to, „Wilo“ nepateikia jokių asmens duomenų trečiosioms valstybėms ar tarptautinėms organizacijoms. Tačiau tam tikroms užduotims atlikti „Wilo“ naudoja paslaugų teikėjus, kurių dauguma taip pat naudojasi paslaugų teikėjais, kurie gali turėti savo įmonės būstinę, patronuojančiąją įmonę ar duomenų centrą trečiojoje valstybėje. Europos Komisija nusprendė, kad perduoti duomenis leidžiama, jei trečiojoje valstybėje taikoma tinkamo lygio apsauga (BDAR 45 straipsnis). </w:t>
      </w:r>
    </w:p>
    <w:p w14:paraId="445A9642" w14:textId="77777777" w:rsidR="00516175" w:rsidRPr="00E53D40" w:rsidRDefault="00516175" w:rsidP="00516175">
      <w:pPr>
        <w:jc w:val="both"/>
        <w:rPr>
          <w:rFonts w:asciiTheme="majorHAnsi" w:eastAsia="Calibri" w:hAnsiTheme="majorHAnsi" w:cs="Arial"/>
          <w:sz w:val="20"/>
          <w:szCs w:val="20"/>
          <w:lang w:eastAsia="en-US"/>
        </w:rPr>
      </w:pPr>
    </w:p>
    <w:p w14:paraId="6243434F" w14:textId="405CD6D1" w:rsidR="00516175" w:rsidRPr="00E53D40" w:rsidRDefault="00516175" w:rsidP="00516175">
      <w:pPr>
        <w:jc w:val="both"/>
        <w:rPr>
          <w:rFonts w:asciiTheme="majorHAnsi" w:eastAsia="Calibri" w:hAnsiTheme="majorHAnsi" w:cs="Arial"/>
          <w:sz w:val="20"/>
          <w:szCs w:val="20"/>
        </w:rPr>
      </w:pPr>
      <w:r w:rsidRPr="00E53D40">
        <w:rPr>
          <w:rFonts w:asciiTheme="majorHAnsi" w:hAnsiTheme="majorHAnsi"/>
          <w:sz w:val="20"/>
          <w:szCs w:val="20"/>
        </w:rPr>
        <w:t>Jei Komisija tokio sprendimo nepriėmė, „Wilo“ arba paslaugų teikėjas gali perduoti asmens duomenis tik į trečiąją valstybę arba tarptautinei organizacijai, kuri ketina taikyti tinkamas apsaugos priemones (pvz., standartines duomenų apsaugos sąlygas, kurias Komisija arba priežiūros institucija priėmė pagal konkrečią procedūrą), ir, jei yra pagal įstatymą įgyvendinama teisė ir suteiktos veiksmingos teisių gynimo priemonės. Su šiais paslaugų teikėjais „Wilo“  pagal sutartį susitarė, kad jų duomenų apsaugos pagrindai visada atitinka Europos duomenų apsaugos lygį.</w:t>
      </w:r>
    </w:p>
    <w:p w14:paraId="44A9F66D" w14:textId="475FA005" w:rsidR="004140EE" w:rsidRPr="00E53D40" w:rsidRDefault="004140EE" w:rsidP="00516175">
      <w:pPr>
        <w:jc w:val="both"/>
        <w:rPr>
          <w:rFonts w:asciiTheme="majorHAnsi" w:eastAsia="Calibri" w:hAnsiTheme="majorHAnsi" w:cs="Arial"/>
          <w:sz w:val="20"/>
          <w:szCs w:val="20"/>
          <w:lang w:eastAsia="en-US"/>
        </w:rPr>
      </w:pPr>
    </w:p>
    <w:p w14:paraId="760CDEB1" w14:textId="77777777" w:rsidR="004140EE" w:rsidRPr="00E53D40" w:rsidRDefault="004140EE" w:rsidP="004140EE">
      <w:pPr>
        <w:jc w:val="both"/>
        <w:rPr>
          <w:rFonts w:asciiTheme="majorHAnsi" w:eastAsia="Calibri" w:hAnsiTheme="majorHAnsi" w:cs="Arial"/>
          <w:sz w:val="20"/>
          <w:szCs w:val="20"/>
        </w:rPr>
      </w:pPr>
      <w:r w:rsidRPr="00E53D40">
        <w:rPr>
          <w:rFonts w:asciiTheme="majorHAnsi" w:hAnsiTheme="majorHAnsi"/>
          <w:sz w:val="20"/>
          <w:szCs w:val="20"/>
        </w:rPr>
        <w:t>Prašome atkreipti dėmesį: perduodant duomenis į JAV, jei ir toliau bus naudojamos standartinės sutarčių sąlygos ir privalomos įmonių taisyklės, negalima užtikrinti, kad duomenų perdavimas į Jungtines Amerikos Valstijas bus apsaugotas pagal BDAR arba bus apsaugotas nuo baudžiamojo persekiojimo dėl dabartinės Europos Teisingumo Teismo praktikos.</w:t>
      </w:r>
    </w:p>
    <w:p w14:paraId="2599149F" w14:textId="77777777" w:rsidR="002779CC" w:rsidRPr="00E53D40" w:rsidRDefault="002779CC" w:rsidP="00516175">
      <w:pPr>
        <w:spacing w:line="250" w:lineRule="exact"/>
        <w:jc w:val="both"/>
        <w:rPr>
          <w:rFonts w:asciiTheme="majorHAnsi" w:eastAsiaTheme="minorHAnsi" w:hAnsiTheme="majorHAnsi" w:cstheme="minorBidi"/>
          <w:sz w:val="20"/>
          <w:szCs w:val="20"/>
          <w:lang w:eastAsia="en-US"/>
        </w:rPr>
      </w:pPr>
    </w:p>
    <w:p w14:paraId="7CB8DC2B" w14:textId="77777777" w:rsidR="002779CC" w:rsidRPr="00E53D40" w:rsidRDefault="002779CC" w:rsidP="00516175">
      <w:pPr>
        <w:spacing w:line="250" w:lineRule="exact"/>
        <w:jc w:val="both"/>
        <w:rPr>
          <w:rFonts w:asciiTheme="majorHAnsi" w:eastAsiaTheme="minorHAnsi" w:hAnsiTheme="majorHAnsi" w:cstheme="minorBidi"/>
          <w:sz w:val="20"/>
          <w:szCs w:val="20"/>
          <w:lang w:eastAsia="en-US"/>
        </w:rPr>
      </w:pPr>
    </w:p>
    <w:p w14:paraId="082199E4" w14:textId="26BCA1EF" w:rsidR="00601F54" w:rsidRPr="00E53D40" w:rsidRDefault="00601F54" w:rsidP="00601F54">
      <w:pPr>
        <w:spacing w:line="250" w:lineRule="exact"/>
        <w:jc w:val="both"/>
        <w:rPr>
          <w:rFonts w:asciiTheme="majorHAnsi" w:eastAsiaTheme="minorHAnsi" w:hAnsiTheme="majorHAnsi" w:cstheme="minorBidi"/>
          <w:sz w:val="20"/>
          <w:szCs w:val="20"/>
        </w:rPr>
      </w:pPr>
      <w:r w:rsidRPr="00E53D40">
        <w:rPr>
          <w:rFonts w:asciiTheme="majorHAnsi" w:hAnsiTheme="majorHAnsi"/>
          <w:b/>
          <w:color w:val="009C82"/>
          <w:sz w:val="20"/>
          <w:szCs w:val="20"/>
        </w:rPr>
        <w:t>Saugojimo trukmė</w:t>
      </w:r>
    </w:p>
    <w:p w14:paraId="0C19643F" w14:textId="77777777" w:rsidR="00601F54" w:rsidRPr="00E53D40" w:rsidRDefault="00601F54" w:rsidP="00601F54">
      <w:pPr>
        <w:jc w:val="both"/>
        <w:rPr>
          <w:rFonts w:asciiTheme="majorHAnsi" w:eastAsia="Calibri" w:hAnsiTheme="majorHAnsi" w:cs="Arial"/>
          <w:sz w:val="20"/>
          <w:szCs w:val="20"/>
        </w:rPr>
      </w:pPr>
      <w:r w:rsidRPr="00E53D40">
        <w:rPr>
          <w:rFonts w:asciiTheme="majorHAnsi" w:hAnsiTheme="majorHAnsi"/>
          <w:sz w:val="20"/>
          <w:szCs w:val="20"/>
        </w:rPr>
        <w:t>Jūsų asmeninę informaciją tvarkome ir saugome tol, kol ji reikalinga mūsų sutartiniams ir teisiniams įsipareigojimams vykdyti. Svarbu pažymėti, kad mūsų verslo santykiai yra ilgalaikė skola, kuri kuriama daugelį metų.</w:t>
      </w:r>
    </w:p>
    <w:p w14:paraId="45278301" w14:textId="77777777" w:rsidR="00601F54" w:rsidRPr="00E53D40" w:rsidRDefault="00601F54" w:rsidP="00601F54">
      <w:pPr>
        <w:rPr>
          <w:rFonts w:asciiTheme="majorHAnsi" w:eastAsia="Calibri" w:hAnsiTheme="majorHAnsi" w:cs="Arial"/>
          <w:sz w:val="20"/>
          <w:szCs w:val="20"/>
          <w:lang w:eastAsia="en-US"/>
        </w:rPr>
      </w:pPr>
    </w:p>
    <w:p w14:paraId="17D98718" w14:textId="77777777" w:rsidR="00601F54" w:rsidRPr="00E53D40" w:rsidRDefault="00601F54" w:rsidP="00601F54">
      <w:pPr>
        <w:rPr>
          <w:rFonts w:asciiTheme="majorHAnsi" w:eastAsia="Calibri" w:hAnsiTheme="majorHAnsi" w:cs="Arial"/>
          <w:sz w:val="20"/>
          <w:szCs w:val="20"/>
        </w:rPr>
      </w:pPr>
      <w:r w:rsidRPr="00E53D40">
        <w:rPr>
          <w:rFonts w:asciiTheme="majorHAnsi" w:hAnsiTheme="majorHAnsi"/>
          <w:sz w:val="20"/>
          <w:szCs w:val="20"/>
        </w:rPr>
        <w:t>Jei sutartiniams ar teisiniams įsipareigojimams vykdyti duomenų nebereikia, jie reguliariai ištrinami, išskyrus atvejus, kai juos laikinai tvarkyti būtina šiais tikslais:</w:t>
      </w:r>
    </w:p>
    <w:p w14:paraId="6D36A99D" w14:textId="77777777" w:rsidR="002779CC" w:rsidRPr="00E53D40" w:rsidRDefault="002779CC" w:rsidP="00516175">
      <w:pPr>
        <w:spacing w:line="250" w:lineRule="exact"/>
        <w:jc w:val="both"/>
        <w:rPr>
          <w:rFonts w:asciiTheme="majorHAnsi" w:eastAsiaTheme="minorHAnsi" w:hAnsiTheme="majorHAnsi" w:cstheme="minorBidi"/>
          <w:sz w:val="20"/>
          <w:szCs w:val="20"/>
          <w:lang w:eastAsia="en-US"/>
        </w:rPr>
      </w:pPr>
    </w:p>
    <w:p w14:paraId="5790B8A7" w14:textId="77777777" w:rsidR="00601F54" w:rsidRPr="00E53D40" w:rsidRDefault="00601F54" w:rsidP="00601F54">
      <w:pPr>
        <w:numPr>
          <w:ilvl w:val="0"/>
          <w:numId w:val="12"/>
        </w:numPr>
        <w:contextualSpacing/>
        <w:jc w:val="both"/>
        <w:rPr>
          <w:rFonts w:asciiTheme="majorHAnsi" w:eastAsia="Calibri" w:hAnsiTheme="majorHAnsi" w:cs="Arial"/>
          <w:sz w:val="20"/>
          <w:szCs w:val="20"/>
        </w:rPr>
      </w:pPr>
      <w:r w:rsidRPr="00E53D40">
        <w:rPr>
          <w:rFonts w:asciiTheme="majorHAnsi" w:hAnsiTheme="majorHAnsi"/>
          <w:sz w:val="20"/>
          <w:szCs w:val="20"/>
        </w:rPr>
        <w:t>Komercinių ir mokesčių išskaitymo reikalavimų, pvz., Vokietijos Prekybos kodekso (HGB), vykdymas. Saugojimo ir dokumentavimo terminai yra nuo šešerių iki dešimties metų.</w:t>
      </w:r>
    </w:p>
    <w:p w14:paraId="6608C2FF" w14:textId="77777777" w:rsidR="00601F54" w:rsidRPr="00E53D40" w:rsidRDefault="00601F54" w:rsidP="00601F54">
      <w:pPr>
        <w:numPr>
          <w:ilvl w:val="0"/>
          <w:numId w:val="13"/>
        </w:numPr>
        <w:contextualSpacing/>
        <w:jc w:val="both"/>
        <w:rPr>
          <w:rFonts w:asciiTheme="majorHAnsi" w:eastAsia="Calibri" w:hAnsiTheme="majorHAnsi" w:cs="Arial"/>
          <w:sz w:val="20"/>
          <w:szCs w:val="20"/>
        </w:rPr>
      </w:pPr>
      <w:r w:rsidRPr="00E53D40">
        <w:rPr>
          <w:rFonts w:asciiTheme="majorHAnsi" w:hAnsiTheme="majorHAnsi"/>
          <w:sz w:val="20"/>
          <w:szCs w:val="20"/>
        </w:rPr>
        <w:lastRenderedPageBreak/>
        <w:t>Įrodymų išsaugojimas per įstatymo nustatytą senaties terminą. Pagal Vokietijos civilinio kodekso (BGB) 195 ir paskesnius straipsnius šie senaties terminai gali būti iki 30 metų, o įprastas senaties terminas yra treji metai.</w:t>
      </w:r>
    </w:p>
    <w:p w14:paraId="55384A36" w14:textId="77777777" w:rsidR="00F86D3A" w:rsidRPr="00E53D40" w:rsidRDefault="00F86D3A" w:rsidP="00601F54">
      <w:pPr>
        <w:tabs>
          <w:tab w:val="left" w:pos="284"/>
        </w:tabs>
        <w:spacing w:line="250" w:lineRule="exact"/>
        <w:jc w:val="both"/>
        <w:rPr>
          <w:rFonts w:asciiTheme="majorHAnsi" w:eastAsiaTheme="minorHAnsi" w:hAnsiTheme="majorHAnsi" w:cstheme="minorBidi"/>
          <w:sz w:val="20"/>
          <w:szCs w:val="20"/>
          <w:lang w:eastAsia="en-US"/>
        </w:rPr>
      </w:pPr>
    </w:p>
    <w:p w14:paraId="4A0A86D1" w14:textId="77777777" w:rsidR="009907F0" w:rsidRPr="00E53D40" w:rsidRDefault="009907F0" w:rsidP="00516175">
      <w:pPr>
        <w:spacing w:line="250" w:lineRule="exact"/>
        <w:jc w:val="both"/>
        <w:rPr>
          <w:rFonts w:asciiTheme="majorHAnsi" w:eastAsiaTheme="minorHAnsi" w:hAnsiTheme="majorHAnsi" w:cstheme="minorBidi"/>
          <w:sz w:val="20"/>
          <w:szCs w:val="20"/>
          <w:lang w:eastAsia="en-US"/>
        </w:rPr>
      </w:pPr>
    </w:p>
    <w:p w14:paraId="1F083CDF" w14:textId="5EA3B7C3" w:rsidR="00577CD9" w:rsidRPr="00E53D40" w:rsidRDefault="00601F54" w:rsidP="00516175">
      <w:pPr>
        <w:spacing w:line="250" w:lineRule="exact"/>
        <w:jc w:val="both"/>
        <w:rPr>
          <w:rFonts w:asciiTheme="majorHAnsi" w:eastAsiaTheme="minorHAnsi" w:hAnsiTheme="majorHAnsi" w:cstheme="minorBidi"/>
          <w:sz w:val="20"/>
          <w:szCs w:val="20"/>
        </w:rPr>
      </w:pPr>
      <w:r w:rsidRPr="00E53D40">
        <w:rPr>
          <w:rFonts w:asciiTheme="majorHAnsi" w:hAnsiTheme="majorHAnsi"/>
          <w:b/>
          <w:color w:val="009C82"/>
          <w:sz w:val="20"/>
          <w:szCs w:val="20"/>
        </w:rPr>
        <w:t>Teisė į privatumą</w:t>
      </w:r>
    </w:p>
    <w:p w14:paraId="26E33FCC" w14:textId="77777777" w:rsidR="00601F54" w:rsidRPr="00E53D40" w:rsidRDefault="00601F54" w:rsidP="00601F54">
      <w:pPr>
        <w:jc w:val="both"/>
        <w:rPr>
          <w:rFonts w:asciiTheme="majorHAnsi" w:eastAsia="Calibri" w:hAnsiTheme="majorHAnsi" w:cs="Arial"/>
          <w:sz w:val="20"/>
          <w:szCs w:val="20"/>
        </w:rPr>
      </w:pPr>
      <w:r w:rsidRPr="00E53D40">
        <w:rPr>
          <w:rFonts w:asciiTheme="majorHAnsi" w:hAnsiTheme="majorHAnsi"/>
          <w:sz w:val="20"/>
          <w:szCs w:val="20"/>
        </w:rPr>
        <w:t>Kiekvienas duomenų subjektas turi teisę į informaciją pagal BDAR 15 straipsnį, teisę reikalauti ištaisyti duomenis pagal BDAR 16 straipsnį, teisę atsisakyti sutarties pagal BDAR 17 straipsnį, teisę apriboti duomenų tvarkymą pagal BDAR 18 straipsnį, teisę prieštarauti pagal BDAR 21 straipsnį ir teisę į duomenų perkeliamumą pagal BDAR 20 straipsnį. Dėl teisės į informaciją ir teisės į ištrynimą taikomi BDSG 34 ir 35 straipsniuose numatyti apribojimai. Be to, taikoma teisė kreiptis į kompetentingą duomenų apsaugos priežiūros instituciją (DSGVO 77 straipsnis kartu su BDSG 19 straipsniu).</w:t>
      </w:r>
    </w:p>
    <w:p w14:paraId="771331E0" w14:textId="77777777" w:rsidR="00601F54" w:rsidRPr="00E53D40" w:rsidRDefault="00601F54" w:rsidP="00601F54">
      <w:pPr>
        <w:jc w:val="both"/>
        <w:rPr>
          <w:rFonts w:asciiTheme="majorHAnsi" w:eastAsia="Calibri" w:hAnsiTheme="majorHAnsi" w:cs="Arial"/>
          <w:sz w:val="20"/>
          <w:szCs w:val="20"/>
          <w:lang w:eastAsia="en-US"/>
        </w:rPr>
      </w:pPr>
    </w:p>
    <w:p w14:paraId="366D4421" w14:textId="77777777" w:rsidR="00601F54" w:rsidRPr="00E53D40" w:rsidRDefault="00601F54" w:rsidP="00601F54">
      <w:pPr>
        <w:jc w:val="both"/>
        <w:rPr>
          <w:rFonts w:asciiTheme="majorHAnsi" w:eastAsia="Calibri" w:hAnsiTheme="majorHAnsi" w:cs="Arial"/>
          <w:sz w:val="20"/>
          <w:szCs w:val="20"/>
        </w:rPr>
      </w:pPr>
      <w:r w:rsidRPr="00E53D40">
        <w:rPr>
          <w:rFonts w:asciiTheme="majorHAnsi" w:hAnsiTheme="majorHAnsi"/>
          <w:sz w:val="20"/>
          <w:szCs w:val="20"/>
        </w:rPr>
        <w:t>Savo sutikimą tvarkyti asmens duomenis galite bet kada atšaukti. Ši nuostata taip pat taikoma sutikimo pareiškimų, kurie mums buvo pateikti iki Bendrojo duomenų apsaugos reglamento įsigaliojimo, t. y. iki 2018 m. gegužės 25 d., atšaukimui. Atkreipkite dėmesį, kad atšaukimas galioja tik ateičiai. Prieš atšaukimą atliktas tvarkymas įtakos neturi.</w:t>
      </w:r>
    </w:p>
    <w:p w14:paraId="5E54E55A" w14:textId="5E596054" w:rsidR="00577CD9" w:rsidRPr="00E53D40" w:rsidRDefault="00577CD9" w:rsidP="00516175">
      <w:pPr>
        <w:spacing w:line="250" w:lineRule="exact"/>
        <w:jc w:val="both"/>
        <w:rPr>
          <w:rFonts w:asciiTheme="majorHAnsi" w:eastAsiaTheme="minorHAnsi" w:hAnsiTheme="majorHAnsi" w:cstheme="minorBidi"/>
          <w:sz w:val="20"/>
          <w:szCs w:val="20"/>
          <w:lang w:eastAsia="en-US"/>
        </w:rPr>
      </w:pPr>
    </w:p>
    <w:p w14:paraId="25D151C8" w14:textId="77777777" w:rsidR="009907F0" w:rsidRPr="00E53D40" w:rsidRDefault="009907F0" w:rsidP="00516175">
      <w:pPr>
        <w:spacing w:line="250" w:lineRule="exact"/>
        <w:jc w:val="both"/>
        <w:rPr>
          <w:rFonts w:asciiTheme="majorHAnsi" w:eastAsiaTheme="minorHAnsi" w:hAnsiTheme="majorHAnsi" w:cstheme="minorBidi"/>
          <w:sz w:val="20"/>
          <w:szCs w:val="20"/>
          <w:lang w:eastAsia="en-US"/>
        </w:rPr>
      </w:pPr>
    </w:p>
    <w:p w14:paraId="79EF9984" w14:textId="3EA88669" w:rsidR="00577CD9" w:rsidRPr="00E53D40" w:rsidRDefault="00601F54" w:rsidP="00516175">
      <w:pPr>
        <w:spacing w:line="250" w:lineRule="exact"/>
        <w:jc w:val="both"/>
        <w:rPr>
          <w:rFonts w:asciiTheme="majorHAnsi" w:eastAsiaTheme="minorHAnsi" w:hAnsiTheme="majorHAnsi" w:cstheme="minorBidi"/>
          <w:b/>
          <w:color w:val="009C82"/>
          <w:sz w:val="20"/>
          <w:szCs w:val="20"/>
        </w:rPr>
      </w:pPr>
      <w:r w:rsidRPr="00E53D40">
        <w:rPr>
          <w:rFonts w:asciiTheme="majorHAnsi" w:hAnsiTheme="majorHAnsi"/>
          <w:b/>
          <w:color w:val="009C82"/>
          <w:sz w:val="20"/>
          <w:szCs w:val="20"/>
        </w:rPr>
        <w:t>Teisė pareikšti prieštaravimą</w:t>
      </w:r>
    </w:p>
    <w:p w14:paraId="62392D34" w14:textId="77777777" w:rsidR="00333155" w:rsidRPr="00E53D40" w:rsidRDefault="00333155" w:rsidP="00516175">
      <w:pPr>
        <w:spacing w:line="250" w:lineRule="exact"/>
        <w:jc w:val="both"/>
        <w:rPr>
          <w:rFonts w:asciiTheme="majorHAnsi" w:eastAsiaTheme="minorHAnsi" w:hAnsiTheme="majorHAnsi" w:cstheme="minorBidi"/>
          <w:b/>
          <w:color w:val="009C82"/>
          <w:sz w:val="20"/>
          <w:szCs w:val="20"/>
          <w:lang w:eastAsia="en-US"/>
        </w:rPr>
      </w:pPr>
    </w:p>
    <w:p w14:paraId="1A21C883" w14:textId="77777777" w:rsidR="00601F54" w:rsidRPr="00E53D40" w:rsidRDefault="00601F54" w:rsidP="00601F54">
      <w:pPr>
        <w:jc w:val="both"/>
        <w:rPr>
          <w:rFonts w:asciiTheme="majorHAnsi" w:eastAsia="Calibri" w:hAnsiTheme="majorHAnsi" w:cs="Arial"/>
          <w:b/>
          <w:sz w:val="20"/>
          <w:szCs w:val="20"/>
        </w:rPr>
      </w:pPr>
      <w:r w:rsidRPr="00E53D40">
        <w:rPr>
          <w:rFonts w:asciiTheme="majorHAnsi" w:hAnsiTheme="majorHAnsi"/>
          <w:b/>
          <w:sz w:val="20"/>
          <w:szCs w:val="20"/>
        </w:rPr>
        <w:t>Su konkrečiu atveju susijusi teisė pareikšti prieštaravimą</w:t>
      </w:r>
    </w:p>
    <w:p w14:paraId="1D1603BD" w14:textId="21F073B9" w:rsidR="00601F54" w:rsidRPr="00E53D40" w:rsidRDefault="00601F54" w:rsidP="00601F54">
      <w:pPr>
        <w:jc w:val="both"/>
        <w:rPr>
          <w:rFonts w:asciiTheme="majorHAnsi" w:eastAsia="Calibri" w:hAnsiTheme="majorHAnsi" w:cs="Arial"/>
          <w:sz w:val="20"/>
          <w:szCs w:val="20"/>
        </w:rPr>
      </w:pPr>
      <w:r w:rsidRPr="00E53D40">
        <w:rPr>
          <w:rFonts w:asciiTheme="majorHAnsi" w:hAnsiTheme="majorHAnsi"/>
          <w:sz w:val="20"/>
          <w:szCs w:val="20"/>
        </w:rPr>
        <w:t>Pagal BDAR 6 straipsnio 1 dalies e punktą (Duomenų tvarkymas viešojo intereso labui) ir BDAR 6 straipsnio 1 dalies f punktą (Duomenų tvarkymas interesų pusiausvyros pagrindu) turite teisę bet kuriuo metu dėl priežasčių, susijusių su jūsų konkrečia situacija, neleisti tvarkyti savo asmens duomenų.</w:t>
      </w:r>
    </w:p>
    <w:p w14:paraId="709A1B56" w14:textId="77777777" w:rsidR="00601F54" w:rsidRPr="00E53D40" w:rsidRDefault="00601F54" w:rsidP="00601F54">
      <w:pPr>
        <w:jc w:val="both"/>
        <w:rPr>
          <w:rFonts w:asciiTheme="majorHAnsi" w:eastAsia="Calibri" w:hAnsiTheme="majorHAnsi" w:cs="Arial"/>
          <w:sz w:val="20"/>
          <w:szCs w:val="20"/>
          <w:lang w:eastAsia="en-US"/>
        </w:rPr>
      </w:pPr>
    </w:p>
    <w:p w14:paraId="63179C7D" w14:textId="77777777" w:rsidR="00601F54" w:rsidRPr="00E53D40" w:rsidRDefault="00601F54" w:rsidP="00601F54">
      <w:pPr>
        <w:jc w:val="both"/>
        <w:rPr>
          <w:rFonts w:asciiTheme="majorHAnsi" w:eastAsia="Calibri" w:hAnsiTheme="majorHAnsi" w:cs="Arial"/>
          <w:sz w:val="20"/>
          <w:szCs w:val="20"/>
        </w:rPr>
      </w:pPr>
      <w:r w:rsidRPr="00E53D40">
        <w:rPr>
          <w:rFonts w:asciiTheme="majorHAnsi" w:hAnsiTheme="majorHAnsi"/>
          <w:sz w:val="20"/>
          <w:szCs w:val="20"/>
        </w:rPr>
        <w:t>Jei prieštaraujate, jūsų asmeninės informacijos nebetvarkysime, nebent mes galime nustatyti įtikinamus teisėtus tvarkymo pagrindus, kurie nusveria jūsų interesus, teises ir laisves, arba tvarkymas yra skirtas pareikšti, vykdyti ar ginti teisinius reikalavimus.</w:t>
      </w:r>
    </w:p>
    <w:p w14:paraId="1BDB5721" w14:textId="77777777" w:rsidR="00601F54" w:rsidRPr="00E53D40" w:rsidRDefault="00601F54" w:rsidP="00601F54">
      <w:pPr>
        <w:jc w:val="both"/>
        <w:rPr>
          <w:rFonts w:asciiTheme="majorHAnsi" w:eastAsia="Calibri" w:hAnsiTheme="majorHAnsi" w:cs="Arial"/>
          <w:sz w:val="20"/>
          <w:szCs w:val="20"/>
          <w:lang w:eastAsia="en-US"/>
        </w:rPr>
      </w:pPr>
    </w:p>
    <w:p w14:paraId="48AA6029" w14:textId="77777777" w:rsidR="00601F54" w:rsidRPr="00E53D40" w:rsidRDefault="00601F54" w:rsidP="00601F54">
      <w:pPr>
        <w:rPr>
          <w:rFonts w:asciiTheme="majorHAnsi" w:eastAsia="Calibri" w:hAnsiTheme="majorHAnsi" w:cs="Arial"/>
          <w:sz w:val="20"/>
          <w:szCs w:val="20"/>
        </w:rPr>
      </w:pPr>
      <w:r w:rsidRPr="00E53D40">
        <w:rPr>
          <w:rFonts w:asciiTheme="majorHAnsi" w:hAnsiTheme="majorHAnsi"/>
          <w:b/>
          <w:sz w:val="20"/>
          <w:szCs w:val="20"/>
        </w:rPr>
        <w:t>Teisė nesutikti, kad duomenys būtų tvarkomi tiesioginės rinkodaros tikslais</w:t>
      </w:r>
    </w:p>
    <w:p w14:paraId="0DD93BA1" w14:textId="228D3B9A" w:rsidR="00C70288" w:rsidRPr="00E53D40" w:rsidRDefault="00601F54" w:rsidP="00333155">
      <w:pPr>
        <w:jc w:val="both"/>
        <w:rPr>
          <w:rFonts w:asciiTheme="majorHAnsi" w:eastAsiaTheme="minorHAnsi" w:hAnsiTheme="majorHAnsi" w:cstheme="minorBidi"/>
          <w:sz w:val="20"/>
          <w:szCs w:val="20"/>
        </w:rPr>
      </w:pPr>
      <w:r w:rsidRPr="00E53D40">
        <w:rPr>
          <w:rFonts w:asciiTheme="majorHAnsi" w:hAnsiTheme="majorHAnsi"/>
          <w:sz w:val="20"/>
          <w:szCs w:val="20"/>
        </w:rPr>
        <w:t>Atskirais atvejais tvarkome jūsų asmens duomenis, kad galėtume siųsti tiesioginius laiškus. Turite teisę bet kuriuo metu nesutikti, kad jūsų asmens duomenys būtų tvarkomi tokios rinkodaros tikslais. Jei nesutinkate su duomenų tvarkymu tiesioginės rinkodaros tikslais, jūsų asmens duomenų šiais tikslais nebetvarkysime. Prieštaravimas gali būti laisvos formos ir jį reikia siųsti pirmiau nurodytam duomenų valdytojo duomenų apsaugos pareigūnui.</w:t>
      </w:r>
    </w:p>
    <w:p w14:paraId="73FBA05C" w14:textId="01A30D67" w:rsidR="009907F0" w:rsidRPr="00E53D40" w:rsidRDefault="009907F0" w:rsidP="00333155">
      <w:pPr>
        <w:spacing w:line="250" w:lineRule="exact"/>
        <w:ind w:right="-1136"/>
        <w:jc w:val="both"/>
        <w:rPr>
          <w:rFonts w:asciiTheme="majorHAnsi" w:eastAsiaTheme="minorHAnsi" w:hAnsiTheme="majorHAnsi" w:cstheme="minorBidi"/>
          <w:sz w:val="20"/>
          <w:szCs w:val="20"/>
          <w:lang w:eastAsia="en-US"/>
        </w:rPr>
      </w:pPr>
    </w:p>
    <w:p w14:paraId="3A0FC020" w14:textId="487EA4CF" w:rsidR="00577CD9" w:rsidRPr="00E53D40" w:rsidRDefault="00577CD9" w:rsidP="00516175">
      <w:pPr>
        <w:spacing w:line="250" w:lineRule="exact"/>
        <w:jc w:val="both"/>
        <w:rPr>
          <w:rFonts w:asciiTheme="majorHAnsi" w:eastAsiaTheme="minorHAnsi" w:hAnsiTheme="majorHAnsi" w:cstheme="minorBidi"/>
          <w:sz w:val="20"/>
          <w:szCs w:val="20"/>
          <w:lang w:eastAsia="en-US"/>
        </w:rPr>
      </w:pPr>
    </w:p>
    <w:p w14:paraId="56AD0D55" w14:textId="77777777" w:rsidR="00B934B7" w:rsidRPr="00E53D40" w:rsidRDefault="00B934B7" w:rsidP="00B934B7">
      <w:pPr>
        <w:jc w:val="both"/>
        <w:rPr>
          <w:rFonts w:asciiTheme="majorHAnsi" w:eastAsia="Calibri" w:hAnsiTheme="majorHAnsi" w:cs="Arial"/>
          <w:b/>
          <w:color w:val="009C82"/>
          <w:sz w:val="20"/>
          <w:szCs w:val="20"/>
        </w:rPr>
      </w:pPr>
      <w:r w:rsidRPr="00E53D40">
        <w:rPr>
          <w:rFonts w:asciiTheme="majorHAnsi" w:hAnsiTheme="majorHAnsi"/>
          <w:b/>
          <w:color w:val="009C82"/>
          <w:sz w:val="20"/>
          <w:szCs w:val="20"/>
        </w:rPr>
        <w:t>Duomenų teikimas</w:t>
      </w:r>
    </w:p>
    <w:p w14:paraId="47913C15" w14:textId="655A914D" w:rsidR="00B934B7" w:rsidRPr="00E53D40" w:rsidRDefault="00B934B7" w:rsidP="00B934B7">
      <w:pPr>
        <w:jc w:val="both"/>
        <w:rPr>
          <w:rFonts w:asciiTheme="majorHAnsi" w:eastAsia="Calibri" w:hAnsiTheme="majorHAnsi" w:cs="Arial"/>
          <w:sz w:val="20"/>
          <w:szCs w:val="20"/>
        </w:rPr>
      </w:pPr>
      <w:r w:rsidRPr="00E53D40">
        <w:rPr>
          <w:rFonts w:asciiTheme="majorHAnsi" w:hAnsiTheme="majorHAnsi"/>
          <w:sz w:val="20"/>
          <w:szCs w:val="20"/>
        </w:rPr>
        <w:t>Kaip mūsų verslo santykių dalį, jūs turite pateikti tą asmeninę informaciją, kurios būtinai reikia norint užmegzti verslo santykius ir vykdyti sutartinius įsipareigojimus, arba kuriuos mes privalome rinkti pagal įstatymus. Neturėdami šios informacijos, kai kuriais atvejais negalėsime sudaryti ar vykdyti sutarties su jumis.</w:t>
      </w:r>
    </w:p>
    <w:p w14:paraId="4667D5B9" w14:textId="77777777" w:rsidR="004140EE" w:rsidRPr="00E53D40" w:rsidRDefault="004140EE" w:rsidP="00B934B7">
      <w:pPr>
        <w:jc w:val="both"/>
        <w:rPr>
          <w:rFonts w:asciiTheme="majorHAnsi" w:eastAsia="Calibri" w:hAnsiTheme="majorHAnsi" w:cs="Arial"/>
          <w:b/>
          <w:color w:val="009C82"/>
          <w:sz w:val="20"/>
          <w:szCs w:val="20"/>
          <w:lang w:eastAsia="en-US"/>
        </w:rPr>
      </w:pPr>
    </w:p>
    <w:p w14:paraId="711768E8" w14:textId="109BDC87" w:rsidR="00B934B7" w:rsidRPr="00E53D40" w:rsidRDefault="00B934B7" w:rsidP="00B934B7">
      <w:pPr>
        <w:jc w:val="both"/>
        <w:rPr>
          <w:rFonts w:asciiTheme="majorHAnsi" w:eastAsia="Calibri" w:hAnsiTheme="majorHAnsi" w:cs="Arial"/>
          <w:sz w:val="20"/>
          <w:szCs w:val="20"/>
        </w:rPr>
      </w:pPr>
      <w:r w:rsidRPr="00E53D40">
        <w:rPr>
          <w:rFonts w:asciiTheme="majorHAnsi" w:hAnsiTheme="majorHAnsi"/>
          <w:b/>
          <w:color w:val="009C82"/>
          <w:sz w:val="20"/>
          <w:szCs w:val="20"/>
        </w:rPr>
        <w:t>Vaikams</w:t>
      </w:r>
    </w:p>
    <w:p w14:paraId="25C1D287" w14:textId="024C3844" w:rsidR="00577CD9" w:rsidRPr="00E53D40" w:rsidRDefault="00B934B7" w:rsidP="00B934B7">
      <w:pPr>
        <w:jc w:val="both"/>
        <w:rPr>
          <w:rFonts w:asciiTheme="majorHAnsi" w:eastAsia="Calibri" w:hAnsiTheme="majorHAnsi" w:cs="Arial"/>
          <w:sz w:val="20"/>
          <w:szCs w:val="20"/>
        </w:rPr>
      </w:pPr>
      <w:r w:rsidRPr="00E53D40">
        <w:rPr>
          <w:rFonts w:asciiTheme="majorHAnsi" w:hAnsiTheme="majorHAnsi"/>
          <w:sz w:val="20"/>
          <w:szCs w:val="20"/>
        </w:rPr>
        <w:t>Vaikai neturėtų teikti jokios asmeninės informacijos „Wilo“ be tėvų ar globėjų sutikimo. „Wilo“ ragina visus tėvus ir globėjus mokyti savo vaikus saugiai bei atsakingai naudoti asmeninę informaciją, ypač internete. Bet kokiu atveju, „Wilo“ sąmoningai nerinks, nenaudos ar kitaip neatskleis asmeniškai identifikuojančios informacijos apie vaikus.</w:t>
      </w:r>
    </w:p>
    <w:p w14:paraId="454F903B" w14:textId="082D5A07" w:rsidR="00577CD9" w:rsidRPr="00E53D40" w:rsidRDefault="00577CD9" w:rsidP="00516175">
      <w:pPr>
        <w:spacing w:line="250" w:lineRule="exact"/>
        <w:jc w:val="both"/>
        <w:rPr>
          <w:rFonts w:asciiTheme="majorHAnsi" w:eastAsiaTheme="minorHAnsi" w:hAnsiTheme="majorHAnsi" w:cstheme="minorBidi"/>
          <w:sz w:val="20"/>
          <w:szCs w:val="20"/>
          <w:lang w:eastAsia="en-US"/>
        </w:rPr>
      </w:pPr>
    </w:p>
    <w:p w14:paraId="59287F4A" w14:textId="4A37FE56" w:rsidR="00B934B7" w:rsidRPr="00E53D40" w:rsidRDefault="002E4A63" w:rsidP="00E617A1">
      <w:pPr>
        <w:jc w:val="both"/>
        <w:rPr>
          <w:rFonts w:asciiTheme="majorHAnsi" w:eastAsia="Calibri" w:hAnsiTheme="majorHAnsi" w:cs="Arial"/>
          <w:sz w:val="20"/>
          <w:szCs w:val="20"/>
        </w:rPr>
      </w:pPr>
      <w:r w:rsidRPr="00E53D40">
        <w:rPr>
          <w:rFonts w:asciiTheme="majorHAnsi" w:hAnsiTheme="majorHAnsi"/>
          <w:b/>
          <w:color w:val="009C82"/>
          <w:sz w:val="20"/>
          <w:szCs w:val="20"/>
        </w:rPr>
        <w:t>Nuo 2020 m. gruodžio mėn.</w:t>
      </w:r>
    </w:p>
    <w:p w14:paraId="73BC9CDD" w14:textId="01A830F3" w:rsidR="00E002FE" w:rsidRPr="00E53D40" w:rsidRDefault="00B934B7" w:rsidP="00E617A1">
      <w:pPr>
        <w:jc w:val="both"/>
        <w:rPr>
          <w:rFonts w:asciiTheme="majorHAnsi" w:eastAsiaTheme="minorHAnsi" w:hAnsiTheme="majorHAnsi" w:cstheme="minorBidi"/>
          <w:sz w:val="20"/>
          <w:szCs w:val="20"/>
        </w:rPr>
      </w:pPr>
      <w:r w:rsidRPr="00E53D40">
        <w:rPr>
          <w:rFonts w:asciiTheme="majorHAnsi" w:hAnsiTheme="majorHAnsi"/>
          <w:sz w:val="20"/>
          <w:szCs w:val="20"/>
        </w:rPr>
        <w:t>Atkreipkite dėmesį, kad šis pareiškimas gali būti ateityje papildytas ar pakeistas dėl teisinių, ar kitų reikalavimų. Reguliariai pasitikrinkite duomenų būklę.</w:t>
      </w:r>
    </w:p>
    <w:sectPr w:rsidR="00E002FE" w:rsidRPr="00E53D40" w:rsidSect="00FF1D24">
      <w:headerReference w:type="default" r:id="rId9"/>
      <w:footerReference w:type="default" r:id="rId10"/>
      <w:pgSz w:w="11906" w:h="16838" w:code="9"/>
      <w:pgMar w:top="2269" w:right="1304" w:bottom="737" w:left="1304" w:header="85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1CDD" w14:textId="77777777" w:rsidR="00547E9E" w:rsidRDefault="00547E9E" w:rsidP="00A81BAD">
      <w:r>
        <w:separator/>
      </w:r>
    </w:p>
  </w:endnote>
  <w:endnote w:type="continuationSeparator" w:id="0">
    <w:p w14:paraId="294CFF10" w14:textId="77777777" w:rsidR="00547E9E" w:rsidRDefault="00547E9E" w:rsidP="00A8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erif">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804613"/>
      <w:docPartObj>
        <w:docPartGallery w:val="Page Numbers (Bottom of Page)"/>
        <w:docPartUnique/>
      </w:docPartObj>
    </w:sdtPr>
    <w:sdtEndPr>
      <w:rPr>
        <w:rFonts w:ascii="Cambria" w:hAnsi="Cambria"/>
        <w:sz w:val="18"/>
      </w:rPr>
    </w:sdtEndPr>
    <w:sdtContent>
      <w:p w14:paraId="1C0945E1" w14:textId="725D63BE" w:rsidR="006C08DF" w:rsidRPr="00F537C1" w:rsidRDefault="006C08DF">
        <w:pPr>
          <w:pStyle w:val="Footer"/>
          <w:jc w:val="right"/>
          <w:rPr>
            <w:rFonts w:ascii="Cambria" w:hAnsi="Cambria"/>
            <w:sz w:val="18"/>
          </w:rPr>
        </w:pPr>
        <w:r w:rsidRPr="00F537C1">
          <w:rPr>
            <w:rFonts w:ascii="Cambria" w:hAnsi="Cambria"/>
            <w:sz w:val="18"/>
          </w:rPr>
          <w:fldChar w:fldCharType="begin"/>
        </w:r>
        <w:r w:rsidRPr="00F537C1">
          <w:rPr>
            <w:rFonts w:ascii="Cambria" w:hAnsi="Cambria"/>
            <w:sz w:val="18"/>
          </w:rPr>
          <w:instrText>PAGE   \* MERGEFORMAT</w:instrText>
        </w:r>
        <w:r w:rsidRPr="00F537C1">
          <w:rPr>
            <w:rFonts w:ascii="Cambria" w:hAnsi="Cambria"/>
            <w:sz w:val="18"/>
          </w:rPr>
          <w:fldChar w:fldCharType="separate"/>
        </w:r>
        <w:r w:rsidR="00B151E0">
          <w:rPr>
            <w:rFonts w:ascii="Cambria" w:hAnsi="Cambria"/>
            <w:sz w:val="18"/>
          </w:rPr>
          <w:t>4</w:t>
        </w:r>
        <w:r w:rsidRPr="00F537C1">
          <w:rPr>
            <w:rFonts w:ascii="Cambria" w:hAnsi="Cambria"/>
            <w:sz w:val="18"/>
          </w:rPr>
          <w:fldChar w:fldCharType="end"/>
        </w:r>
      </w:p>
    </w:sdtContent>
  </w:sdt>
  <w:p w14:paraId="5324F992" w14:textId="77777777" w:rsidR="006C08DF" w:rsidRDefault="006C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EBCC" w14:textId="77777777" w:rsidR="00547E9E" w:rsidRDefault="00547E9E" w:rsidP="00A81BAD">
      <w:r>
        <w:separator/>
      </w:r>
    </w:p>
  </w:footnote>
  <w:footnote w:type="continuationSeparator" w:id="0">
    <w:p w14:paraId="69B2DB4A" w14:textId="77777777" w:rsidR="00547E9E" w:rsidRDefault="00547E9E" w:rsidP="00A8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CD1" w14:textId="7E6E21DE" w:rsidR="007D1473" w:rsidRPr="00E770BC" w:rsidRDefault="006C08DF" w:rsidP="00DA28B7">
    <w:pPr>
      <w:pStyle w:val="Header"/>
      <w:rPr>
        <w:rFonts w:ascii="Calibri" w:hAnsi="Calibri"/>
        <w:sz w:val="24"/>
        <w:szCs w:val="24"/>
      </w:rPr>
    </w:pPr>
    <w:r>
      <w:rPr>
        <w:rFonts w:ascii="Calibri" w:hAnsi="Calibri"/>
        <w:noProof/>
        <w:sz w:val="24"/>
      </w:rPr>
      <w:drawing>
        <wp:anchor distT="0" distB="0" distL="114300" distR="114300" simplePos="0" relativeHeight="251660288" behindDoc="1" locked="0" layoutInCell="1" allowOverlap="1" wp14:anchorId="3CCF6855" wp14:editId="6DC8B698">
          <wp:simplePos x="0" y="0"/>
          <wp:positionH relativeFrom="margin">
            <wp:align>left</wp:align>
          </wp:positionH>
          <wp:positionV relativeFrom="paragraph">
            <wp:posOffset>-216535</wp:posOffset>
          </wp:positionV>
          <wp:extent cx="723900" cy="723900"/>
          <wp:effectExtent l="0" t="0" r="0" b="0"/>
          <wp:wrapTight wrapText="bothSides">
            <wp:wrapPolygon edited="0">
              <wp:start x="6821" y="0"/>
              <wp:lineTo x="0" y="1705"/>
              <wp:lineTo x="0" y="15347"/>
              <wp:lineTo x="2274" y="18189"/>
              <wp:lineTo x="2274" y="18758"/>
              <wp:lineTo x="5684" y="21032"/>
              <wp:lineTo x="6821" y="21032"/>
              <wp:lineTo x="14211" y="21032"/>
              <wp:lineTo x="15347" y="21032"/>
              <wp:lineTo x="18758" y="18758"/>
              <wp:lineTo x="18758" y="18189"/>
              <wp:lineTo x="21032" y="15347"/>
              <wp:lineTo x="21032" y="1705"/>
              <wp:lineTo x="14211" y="0"/>
              <wp:lineTo x="682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Pr>
        <w:rFonts w:ascii="Calibri" w:hAnsi="Calibri"/>
        <w:sz w:val="24"/>
      </w:rPr>
      <w:t>Duomenų apsauga mums svarbi!</w:t>
    </w:r>
    <w:r>
      <w:rPr>
        <w:noProof/>
      </w:rPr>
      <w:drawing>
        <wp:anchor distT="0" distB="0" distL="114300" distR="114300" simplePos="0" relativeHeight="251659264" behindDoc="1" locked="1" layoutInCell="1" allowOverlap="1" wp14:anchorId="04E0C05D" wp14:editId="187E7C00">
          <wp:simplePos x="0" y="0"/>
          <wp:positionH relativeFrom="page">
            <wp:align>left</wp:align>
          </wp:positionH>
          <wp:positionV relativeFrom="page">
            <wp:posOffset>238125</wp:posOffset>
          </wp:positionV>
          <wp:extent cx="7559675" cy="1079500"/>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BenDo:Desktop:Drehscheibe:2012-11-25_WILO:Grafiken Word:Word_Logo_3c.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67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9F5"/>
    <w:multiLevelType w:val="hybridMultilevel"/>
    <w:tmpl w:val="EDBCF99A"/>
    <w:lvl w:ilvl="0" w:tplc="50449308">
      <w:start w:val="1"/>
      <w:numFmt w:val="decimal"/>
      <w:lvlText w:val="%1."/>
      <w:lvlJc w:val="left"/>
      <w:pPr>
        <w:tabs>
          <w:tab w:val="num" w:pos="720"/>
        </w:tabs>
        <w:ind w:left="720" w:hanging="360"/>
      </w:pPr>
    </w:lvl>
    <w:lvl w:ilvl="1" w:tplc="3D7E844A" w:tentative="1">
      <w:start w:val="1"/>
      <w:numFmt w:val="decimal"/>
      <w:lvlText w:val="%2."/>
      <w:lvlJc w:val="left"/>
      <w:pPr>
        <w:tabs>
          <w:tab w:val="num" w:pos="1440"/>
        </w:tabs>
        <w:ind w:left="1440" w:hanging="360"/>
      </w:pPr>
    </w:lvl>
    <w:lvl w:ilvl="2" w:tplc="AA4EFF1E" w:tentative="1">
      <w:start w:val="1"/>
      <w:numFmt w:val="decimal"/>
      <w:lvlText w:val="%3."/>
      <w:lvlJc w:val="left"/>
      <w:pPr>
        <w:tabs>
          <w:tab w:val="num" w:pos="2160"/>
        </w:tabs>
        <w:ind w:left="2160" w:hanging="360"/>
      </w:pPr>
    </w:lvl>
    <w:lvl w:ilvl="3" w:tplc="D632C71A" w:tentative="1">
      <w:start w:val="1"/>
      <w:numFmt w:val="decimal"/>
      <w:lvlText w:val="%4."/>
      <w:lvlJc w:val="left"/>
      <w:pPr>
        <w:tabs>
          <w:tab w:val="num" w:pos="2880"/>
        </w:tabs>
        <w:ind w:left="2880" w:hanging="360"/>
      </w:pPr>
    </w:lvl>
    <w:lvl w:ilvl="4" w:tplc="DF86B22A" w:tentative="1">
      <w:start w:val="1"/>
      <w:numFmt w:val="decimal"/>
      <w:lvlText w:val="%5."/>
      <w:lvlJc w:val="left"/>
      <w:pPr>
        <w:tabs>
          <w:tab w:val="num" w:pos="3600"/>
        </w:tabs>
        <w:ind w:left="3600" w:hanging="360"/>
      </w:pPr>
    </w:lvl>
    <w:lvl w:ilvl="5" w:tplc="6A0CD246" w:tentative="1">
      <w:start w:val="1"/>
      <w:numFmt w:val="decimal"/>
      <w:lvlText w:val="%6."/>
      <w:lvlJc w:val="left"/>
      <w:pPr>
        <w:tabs>
          <w:tab w:val="num" w:pos="4320"/>
        </w:tabs>
        <w:ind w:left="4320" w:hanging="360"/>
      </w:pPr>
    </w:lvl>
    <w:lvl w:ilvl="6" w:tplc="6EC27A36" w:tentative="1">
      <w:start w:val="1"/>
      <w:numFmt w:val="decimal"/>
      <w:lvlText w:val="%7."/>
      <w:lvlJc w:val="left"/>
      <w:pPr>
        <w:tabs>
          <w:tab w:val="num" w:pos="5040"/>
        </w:tabs>
        <w:ind w:left="5040" w:hanging="360"/>
      </w:pPr>
    </w:lvl>
    <w:lvl w:ilvl="7" w:tplc="F990AE38" w:tentative="1">
      <w:start w:val="1"/>
      <w:numFmt w:val="decimal"/>
      <w:lvlText w:val="%8."/>
      <w:lvlJc w:val="left"/>
      <w:pPr>
        <w:tabs>
          <w:tab w:val="num" w:pos="5760"/>
        </w:tabs>
        <w:ind w:left="5760" w:hanging="360"/>
      </w:pPr>
    </w:lvl>
    <w:lvl w:ilvl="8" w:tplc="50DEDBE8" w:tentative="1">
      <w:start w:val="1"/>
      <w:numFmt w:val="decimal"/>
      <w:lvlText w:val="%9."/>
      <w:lvlJc w:val="left"/>
      <w:pPr>
        <w:tabs>
          <w:tab w:val="num" w:pos="6480"/>
        </w:tabs>
        <w:ind w:left="6480" w:hanging="360"/>
      </w:pPr>
    </w:lvl>
  </w:abstractNum>
  <w:abstractNum w:abstractNumId="1" w15:restartNumberingAfterBreak="0">
    <w:nsid w:val="1BA005DC"/>
    <w:multiLevelType w:val="hybridMultilevel"/>
    <w:tmpl w:val="683E967E"/>
    <w:lvl w:ilvl="0" w:tplc="CD34D808">
      <w:start w:val="1"/>
      <w:numFmt w:val="bullet"/>
      <w:pStyle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A38C5"/>
    <w:multiLevelType w:val="hybridMultilevel"/>
    <w:tmpl w:val="C916D2F4"/>
    <w:lvl w:ilvl="0" w:tplc="F47A9F2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12774"/>
    <w:multiLevelType w:val="hybridMultilevel"/>
    <w:tmpl w:val="35B862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7A946F4"/>
    <w:multiLevelType w:val="hybridMultilevel"/>
    <w:tmpl w:val="8384DF10"/>
    <w:lvl w:ilvl="0" w:tplc="ECECA2F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A08B1"/>
    <w:multiLevelType w:val="hybridMultilevel"/>
    <w:tmpl w:val="21503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CF79A2"/>
    <w:multiLevelType w:val="hybridMultilevel"/>
    <w:tmpl w:val="C100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329AB"/>
    <w:multiLevelType w:val="hybridMultilevel"/>
    <w:tmpl w:val="7B9CA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BC445F"/>
    <w:multiLevelType w:val="hybridMultilevel"/>
    <w:tmpl w:val="85D23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0334D2"/>
    <w:multiLevelType w:val="hybridMultilevel"/>
    <w:tmpl w:val="3506B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53C2F"/>
    <w:multiLevelType w:val="hybridMultilevel"/>
    <w:tmpl w:val="0D4EC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8F2132"/>
    <w:multiLevelType w:val="hybridMultilevel"/>
    <w:tmpl w:val="8CA2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0A255C"/>
    <w:multiLevelType w:val="hybridMultilevel"/>
    <w:tmpl w:val="D4461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7549555">
    <w:abstractNumId w:val="1"/>
  </w:num>
  <w:num w:numId="2" w16cid:durableId="1087770706">
    <w:abstractNumId w:val="4"/>
  </w:num>
  <w:num w:numId="3" w16cid:durableId="1188374912">
    <w:abstractNumId w:val="0"/>
  </w:num>
  <w:num w:numId="4" w16cid:durableId="297105861">
    <w:abstractNumId w:val="8"/>
  </w:num>
  <w:num w:numId="5" w16cid:durableId="547570131">
    <w:abstractNumId w:val="12"/>
  </w:num>
  <w:num w:numId="6" w16cid:durableId="714231863">
    <w:abstractNumId w:val="9"/>
  </w:num>
  <w:num w:numId="7" w16cid:durableId="1628899604">
    <w:abstractNumId w:val="7"/>
  </w:num>
  <w:num w:numId="8" w16cid:durableId="366373228">
    <w:abstractNumId w:val="10"/>
  </w:num>
  <w:num w:numId="9" w16cid:durableId="323095835">
    <w:abstractNumId w:val="5"/>
  </w:num>
  <w:num w:numId="10" w16cid:durableId="2041273278">
    <w:abstractNumId w:val="3"/>
  </w:num>
  <w:num w:numId="11" w16cid:durableId="845217843">
    <w:abstractNumId w:val="11"/>
  </w:num>
  <w:num w:numId="12" w16cid:durableId="1250164910">
    <w:abstractNumId w:val="2"/>
  </w:num>
  <w:num w:numId="13" w16cid:durableId="126167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E"/>
    <w:rsid w:val="000106B3"/>
    <w:rsid w:val="00013A7F"/>
    <w:rsid w:val="000220BE"/>
    <w:rsid w:val="00037B88"/>
    <w:rsid w:val="00046472"/>
    <w:rsid w:val="00056CA4"/>
    <w:rsid w:val="00064587"/>
    <w:rsid w:val="000923CB"/>
    <w:rsid w:val="00092FBA"/>
    <w:rsid w:val="00093506"/>
    <w:rsid w:val="000B05C2"/>
    <w:rsid w:val="000B2BBD"/>
    <w:rsid w:val="000B6C17"/>
    <w:rsid w:val="000C6733"/>
    <w:rsid w:val="000D0A6A"/>
    <w:rsid w:val="000D144C"/>
    <w:rsid w:val="000E6EEB"/>
    <w:rsid w:val="000F0348"/>
    <w:rsid w:val="000F1054"/>
    <w:rsid w:val="000F1ECB"/>
    <w:rsid w:val="000F38D0"/>
    <w:rsid w:val="000F5CDC"/>
    <w:rsid w:val="000F727A"/>
    <w:rsid w:val="001016D2"/>
    <w:rsid w:val="001178A4"/>
    <w:rsid w:val="00120563"/>
    <w:rsid w:val="00122F03"/>
    <w:rsid w:val="0012783C"/>
    <w:rsid w:val="0014363E"/>
    <w:rsid w:val="00145C5C"/>
    <w:rsid w:val="00167B82"/>
    <w:rsid w:val="00180A63"/>
    <w:rsid w:val="00186293"/>
    <w:rsid w:val="00191931"/>
    <w:rsid w:val="001A3CB1"/>
    <w:rsid w:val="001A5DD0"/>
    <w:rsid w:val="001D2D39"/>
    <w:rsid w:val="001E3A79"/>
    <w:rsid w:val="001F2B14"/>
    <w:rsid w:val="002617B8"/>
    <w:rsid w:val="00274671"/>
    <w:rsid w:val="002779CC"/>
    <w:rsid w:val="0028058A"/>
    <w:rsid w:val="002829C5"/>
    <w:rsid w:val="00282F7B"/>
    <w:rsid w:val="0029648F"/>
    <w:rsid w:val="002A0B08"/>
    <w:rsid w:val="002A1DB1"/>
    <w:rsid w:val="002A7FF0"/>
    <w:rsid w:val="002B7525"/>
    <w:rsid w:val="002D211A"/>
    <w:rsid w:val="002D75CA"/>
    <w:rsid w:val="002E4A63"/>
    <w:rsid w:val="002F0707"/>
    <w:rsid w:val="002F7D3C"/>
    <w:rsid w:val="003000E6"/>
    <w:rsid w:val="00300AFF"/>
    <w:rsid w:val="00311407"/>
    <w:rsid w:val="0031251B"/>
    <w:rsid w:val="00312AB5"/>
    <w:rsid w:val="00332239"/>
    <w:rsid w:val="00333155"/>
    <w:rsid w:val="00341B5A"/>
    <w:rsid w:val="00352D6B"/>
    <w:rsid w:val="003A0065"/>
    <w:rsid w:val="003B040D"/>
    <w:rsid w:val="003B50EC"/>
    <w:rsid w:val="003B5267"/>
    <w:rsid w:val="003C5DDE"/>
    <w:rsid w:val="003D0454"/>
    <w:rsid w:val="00407BC6"/>
    <w:rsid w:val="0041307D"/>
    <w:rsid w:val="004140EE"/>
    <w:rsid w:val="00420203"/>
    <w:rsid w:val="00436AB4"/>
    <w:rsid w:val="004442D4"/>
    <w:rsid w:val="00445024"/>
    <w:rsid w:val="0045393E"/>
    <w:rsid w:val="004568BB"/>
    <w:rsid w:val="004602D7"/>
    <w:rsid w:val="00462512"/>
    <w:rsid w:val="004733B6"/>
    <w:rsid w:val="004820CD"/>
    <w:rsid w:val="004B0406"/>
    <w:rsid w:val="004B737F"/>
    <w:rsid w:val="004C1315"/>
    <w:rsid w:val="004E0F51"/>
    <w:rsid w:val="004E174D"/>
    <w:rsid w:val="004F1C62"/>
    <w:rsid w:val="00516175"/>
    <w:rsid w:val="0053140D"/>
    <w:rsid w:val="00547E9E"/>
    <w:rsid w:val="00550240"/>
    <w:rsid w:val="00552A06"/>
    <w:rsid w:val="005539C9"/>
    <w:rsid w:val="0056117A"/>
    <w:rsid w:val="00577CD9"/>
    <w:rsid w:val="00580BF9"/>
    <w:rsid w:val="00593799"/>
    <w:rsid w:val="00596F11"/>
    <w:rsid w:val="005E1B32"/>
    <w:rsid w:val="005F3825"/>
    <w:rsid w:val="00600385"/>
    <w:rsid w:val="00601F54"/>
    <w:rsid w:val="006035D1"/>
    <w:rsid w:val="00660861"/>
    <w:rsid w:val="00671FB4"/>
    <w:rsid w:val="00674E16"/>
    <w:rsid w:val="0069354B"/>
    <w:rsid w:val="006C08DF"/>
    <w:rsid w:val="006F51CE"/>
    <w:rsid w:val="00707B34"/>
    <w:rsid w:val="00707FE7"/>
    <w:rsid w:val="00714E6D"/>
    <w:rsid w:val="007174EC"/>
    <w:rsid w:val="007240D0"/>
    <w:rsid w:val="00725A23"/>
    <w:rsid w:val="00741D0B"/>
    <w:rsid w:val="00795362"/>
    <w:rsid w:val="007970F8"/>
    <w:rsid w:val="007B02AA"/>
    <w:rsid w:val="007D13F4"/>
    <w:rsid w:val="007D1473"/>
    <w:rsid w:val="007D60F2"/>
    <w:rsid w:val="007E5243"/>
    <w:rsid w:val="007E65D8"/>
    <w:rsid w:val="007F18E8"/>
    <w:rsid w:val="00816F92"/>
    <w:rsid w:val="00823788"/>
    <w:rsid w:val="00836175"/>
    <w:rsid w:val="00842BDA"/>
    <w:rsid w:val="008450C4"/>
    <w:rsid w:val="00846EF8"/>
    <w:rsid w:val="008603A3"/>
    <w:rsid w:val="008971E6"/>
    <w:rsid w:val="008A07EE"/>
    <w:rsid w:val="008A19A3"/>
    <w:rsid w:val="008B2D9A"/>
    <w:rsid w:val="008C788E"/>
    <w:rsid w:val="008E660B"/>
    <w:rsid w:val="008F647C"/>
    <w:rsid w:val="00915A0B"/>
    <w:rsid w:val="009308C4"/>
    <w:rsid w:val="00937024"/>
    <w:rsid w:val="00940B89"/>
    <w:rsid w:val="00956799"/>
    <w:rsid w:val="00973F7E"/>
    <w:rsid w:val="009907F0"/>
    <w:rsid w:val="009A02F6"/>
    <w:rsid w:val="009A4CFB"/>
    <w:rsid w:val="009B74B9"/>
    <w:rsid w:val="009B7A35"/>
    <w:rsid w:val="009C1094"/>
    <w:rsid w:val="009D342A"/>
    <w:rsid w:val="009D541E"/>
    <w:rsid w:val="009F08C9"/>
    <w:rsid w:val="009F62DA"/>
    <w:rsid w:val="00A02D31"/>
    <w:rsid w:val="00A11268"/>
    <w:rsid w:val="00A269EC"/>
    <w:rsid w:val="00A3060C"/>
    <w:rsid w:val="00A43571"/>
    <w:rsid w:val="00A51698"/>
    <w:rsid w:val="00A6017A"/>
    <w:rsid w:val="00A81BAD"/>
    <w:rsid w:val="00A94655"/>
    <w:rsid w:val="00A96F39"/>
    <w:rsid w:val="00AC18F0"/>
    <w:rsid w:val="00AF38EF"/>
    <w:rsid w:val="00AF6A3C"/>
    <w:rsid w:val="00B00BA5"/>
    <w:rsid w:val="00B04B5E"/>
    <w:rsid w:val="00B12D83"/>
    <w:rsid w:val="00B151E0"/>
    <w:rsid w:val="00B16198"/>
    <w:rsid w:val="00B27B17"/>
    <w:rsid w:val="00B343C7"/>
    <w:rsid w:val="00B34F60"/>
    <w:rsid w:val="00B36951"/>
    <w:rsid w:val="00B432AC"/>
    <w:rsid w:val="00B523CF"/>
    <w:rsid w:val="00B53135"/>
    <w:rsid w:val="00B63E74"/>
    <w:rsid w:val="00B72450"/>
    <w:rsid w:val="00B7383A"/>
    <w:rsid w:val="00B761AB"/>
    <w:rsid w:val="00B77036"/>
    <w:rsid w:val="00B8767D"/>
    <w:rsid w:val="00B934B7"/>
    <w:rsid w:val="00B937D6"/>
    <w:rsid w:val="00B94F50"/>
    <w:rsid w:val="00BA4912"/>
    <w:rsid w:val="00BB3A73"/>
    <w:rsid w:val="00BC5441"/>
    <w:rsid w:val="00BE4A56"/>
    <w:rsid w:val="00C017D0"/>
    <w:rsid w:val="00C23ED2"/>
    <w:rsid w:val="00C41039"/>
    <w:rsid w:val="00C419BA"/>
    <w:rsid w:val="00C62069"/>
    <w:rsid w:val="00C70288"/>
    <w:rsid w:val="00C73C07"/>
    <w:rsid w:val="00C77338"/>
    <w:rsid w:val="00C83D92"/>
    <w:rsid w:val="00CA3A9A"/>
    <w:rsid w:val="00CE0A66"/>
    <w:rsid w:val="00CF79C1"/>
    <w:rsid w:val="00D21B38"/>
    <w:rsid w:val="00D52398"/>
    <w:rsid w:val="00D67A13"/>
    <w:rsid w:val="00D735AF"/>
    <w:rsid w:val="00D75F5A"/>
    <w:rsid w:val="00D769BA"/>
    <w:rsid w:val="00D8454C"/>
    <w:rsid w:val="00DA0FFD"/>
    <w:rsid w:val="00DA28B7"/>
    <w:rsid w:val="00DA5539"/>
    <w:rsid w:val="00DB35C2"/>
    <w:rsid w:val="00DC08B3"/>
    <w:rsid w:val="00DC3897"/>
    <w:rsid w:val="00DC40FA"/>
    <w:rsid w:val="00DE7862"/>
    <w:rsid w:val="00E002FE"/>
    <w:rsid w:val="00E02441"/>
    <w:rsid w:val="00E14FAD"/>
    <w:rsid w:val="00E179DB"/>
    <w:rsid w:val="00E467D7"/>
    <w:rsid w:val="00E50BA3"/>
    <w:rsid w:val="00E53D40"/>
    <w:rsid w:val="00E617A1"/>
    <w:rsid w:val="00E65D13"/>
    <w:rsid w:val="00E770BC"/>
    <w:rsid w:val="00E93690"/>
    <w:rsid w:val="00EA4524"/>
    <w:rsid w:val="00EB5861"/>
    <w:rsid w:val="00EC4B92"/>
    <w:rsid w:val="00ED1DBE"/>
    <w:rsid w:val="00EE7755"/>
    <w:rsid w:val="00F20E82"/>
    <w:rsid w:val="00F537C1"/>
    <w:rsid w:val="00F739B7"/>
    <w:rsid w:val="00F77EB4"/>
    <w:rsid w:val="00F81366"/>
    <w:rsid w:val="00F86D3A"/>
    <w:rsid w:val="00F962BE"/>
    <w:rsid w:val="00FA19F1"/>
    <w:rsid w:val="00FB1DD6"/>
    <w:rsid w:val="00FB49D2"/>
    <w:rsid w:val="00FC4B47"/>
    <w:rsid w:val="00FF1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188868"/>
  <w15:docId w15:val="{0E5ABCCA-0D5B-49CA-90B5-35532C3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9E"/>
    <w:pPr>
      <w:spacing w:after="0" w:line="240" w:lineRule="auto"/>
    </w:pPr>
    <w:rPr>
      <w:rFonts w:ascii="StoneSerif" w:eastAsia="Times New Roman" w:hAnsi="StoneSerif" w:cs="Times New Roman"/>
      <w:sz w:val="18"/>
      <w:szCs w:val="18"/>
      <w:lang w:eastAsia="de-DE"/>
    </w:rPr>
  </w:style>
  <w:style w:type="paragraph" w:styleId="Heading1">
    <w:name w:val="heading 1"/>
    <w:basedOn w:val="Normal"/>
    <w:next w:val="Normal"/>
    <w:link w:val="Heading1Char"/>
    <w:uiPriority w:val="9"/>
    <w:qFormat/>
    <w:rsid w:val="00A81BAD"/>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AD"/>
    <w:rPr>
      <w:rFonts w:ascii="Tahoma" w:hAnsi="Tahoma" w:cs="Tahoma"/>
      <w:sz w:val="16"/>
      <w:szCs w:val="16"/>
    </w:rPr>
  </w:style>
  <w:style w:type="character" w:customStyle="1" w:styleId="BalloonTextChar">
    <w:name w:val="Balloon Text Char"/>
    <w:basedOn w:val="DefaultParagraphFont"/>
    <w:link w:val="BalloonText"/>
    <w:uiPriority w:val="99"/>
    <w:semiHidden/>
    <w:rsid w:val="00A81BAD"/>
    <w:rPr>
      <w:rFonts w:ascii="Tahoma" w:hAnsi="Tahoma" w:cs="Tahoma"/>
      <w:sz w:val="16"/>
      <w:szCs w:val="16"/>
    </w:rPr>
  </w:style>
  <w:style w:type="paragraph" w:styleId="Header">
    <w:name w:val="header"/>
    <w:basedOn w:val="Normal"/>
    <w:link w:val="HeaderChar"/>
    <w:uiPriority w:val="99"/>
    <w:unhideWhenUsed/>
    <w:rsid w:val="000D0A6A"/>
    <w:pPr>
      <w:tabs>
        <w:tab w:val="center" w:pos="4513"/>
        <w:tab w:val="right" w:pos="9026"/>
      </w:tabs>
      <w:spacing w:line="210" w:lineRule="atLeast"/>
    </w:pPr>
    <w:rPr>
      <w:color w:val="505050" w:themeColor="accent2"/>
      <w:spacing w:val="1"/>
      <w:sz w:val="12"/>
    </w:rPr>
  </w:style>
  <w:style w:type="character" w:customStyle="1" w:styleId="HeaderChar">
    <w:name w:val="Header Char"/>
    <w:basedOn w:val="DefaultParagraphFont"/>
    <w:link w:val="Header"/>
    <w:uiPriority w:val="99"/>
    <w:rsid w:val="000D0A6A"/>
    <w:rPr>
      <w:color w:val="505050" w:themeColor="accent2"/>
      <w:spacing w:val="1"/>
      <w:sz w:val="12"/>
    </w:rPr>
  </w:style>
  <w:style w:type="paragraph" w:styleId="Footer">
    <w:name w:val="footer"/>
    <w:basedOn w:val="Normal"/>
    <w:link w:val="FooterChar"/>
    <w:uiPriority w:val="99"/>
    <w:unhideWhenUsed/>
    <w:rsid w:val="007D1473"/>
    <w:pPr>
      <w:tabs>
        <w:tab w:val="left" w:pos="142"/>
      </w:tabs>
      <w:spacing w:line="180" w:lineRule="atLeast"/>
    </w:pPr>
    <w:rPr>
      <w:color w:val="505050" w:themeColor="accent2"/>
      <w:sz w:val="12"/>
    </w:rPr>
  </w:style>
  <w:style w:type="character" w:customStyle="1" w:styleId="FooterChar">
    <w:name w:val="Footer Char"/>
    <w:basedOn w:val="DefaultParagraphFont"/>
    <w:link w:val="Footer"/>
    <w:uiPriority w:val="99"/>
    <w:rsid w:val="007D1473"/>
    <w:rPr>
      <w:color w:val="505050" w:themeColor="accent2"/>
      <w:sz w:val="12"/>
    </w:rPr>
  </w:style>
  <w:style w:type="character" w:customStyle="1" w:styleId="Heading1Char">
    <w:name w:val="Heading 1 Char"/>
    <w:basedOn w:val="DefaultParagraphFont"/>
    <w:link w:val="Heading1"/>
    <w:uiPriority w:val="9"/>
    <w:rsid w:val="00A81BAD"/>
    <w:rPr>
      <w:b/>
      <w:sz w:val="20"/>
    </w:rPr>
  </w:style>
  <w:style w:type="table" w:styleId="TableGrid">
    <w:name w:val="Table Grid"/>
    <w:basedOn w:val="TableNormal"/>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3000E6"/>
    <w:pPr>
      <w:numPr>
        <w:numId w:val="1"/>
      </w:numPr>
      <w:tabs>
        <w:tab w:val="left" w:pos="357"/>
      </w:tabs>
    </w:pPr>
  </w:style>
  <w:style w:type="character" w:styleId="CommentReference">
    <w:name w:val="annotation reference"/>
    <w:uiPriority w:val="99"/>
    <w:semiHidden/>
    <w:unhideWhenUsed/>
    <w:rsid w:val="00547E9E"/>
    <w:rPr>
      <w:sz w:val="16"/>
      <w:szCs w:val="16"/>
    </w:rPr>
  </w:style>
  <w:style w:type="paragraph" w:styleId="CommentText">
    <w:name w:val="annotation text"/>
    <w:basedOn w:val="Normal"/>
    <w:link w:val="CommentTextChar"/>
    <w:uiPriority w:val="99"/>
    <w:semiHidden/>
    <w:unhideWhenUsed/>
    <w:rsid w:val="00547E9E"/>
    <w:rPr>
      <w:sz w:val="20"/>
      <w:szCs w:val="20"/>
    </w:rPr>
  </w:style>
  <w:style w:type="character" w:customStyle="1" w:styleId="CommentTextChar">
    <w:name w:val="Comment Text Char"/>
    <w:basedOn w:val="DefaultParagraphFont"/>
    <w:link w:val="CommentText"/>
    <w:uiPriority w:val="99"/>
    <w:semiHidden/>
    <w:rsid w:val="00547E9E"/>
    <w:rPr>
      <w:rFonts w:ascii="StoneSerif" w:eastAsia="Times New Roman" w:hAnsi="StoneSerif" w:cs="Times New Roman"/>
      <w:sz w:val="20"/>
      <w:szCs w:val="20"/>
      <w:lang w:eastAsia="de-DE"/>
    </w:rPr>
  </w:style>
  <w:style w:type="paragraph" w:customStyle="1" w:styleId="Default">
    <w:name w:val="Default"/>
    <w:rsid w:val="001F2B1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27B17"/>
    <w:rPr>
      <w:color w:val="000000" w:themeColor="hyperlink"/>
      <w:u w:val="single"/>
    </w:rPr>
  </w:style>
  <w:style w:type="paragraph" w:customStyle="1" w:styleId="Listenabsatz1">
    <w:name w:val="Listenabsatz1"/>
    <w:basedOn w:val="Normal"/>
    <w:next w:val="ListParagraph"/>
    <w:uiPriority w:val="34"/>
    <w:qFormat/>
    <w:rsid w:val="00E002FE"/>
    <w:pPr>
      <w:ind w:left="720"/>
      <w:contextualSpacing/>
    </w:pPr>
    <w:rPr>
      <w:rFonts w:ascii="Verdana" w:eastAsia="Calibri" w:hAnsi="Verdana" w:cs="Arial"/>
      <w:sz w:val="20"/>
      <w:szCs w:val="20"/>
      <w:lang w:eastAsia="en-US"/>
    </w:rPr>
  </w:style>
  <w:style w:type="paragraph" w:styleId="ListParagraph">
    <w:name w:val="List Paragraph"/>
    <w:basedOn w:val="Normal"/>
    <w:uiPriority w:val="34"/>
    <w:rsid w:val="00E002FE"/>
    <w:pPr>
      <w:ind w:left="720"/>
      <w:contextualSpacing/>
    </w:pPr>
  </w:style>
  <w:style w:type="paragraph" w:styleId="CommentSubject">
    <w:name w:val="annotation subject"/>
    <w:basedOn w:val="CommentText"/>
    <w:next w:val="CommentText"/>
    <w:link w:val="CommentSubjectChar"/>
    <w:uiPriority w:val="99"/>
    <w:semiHidden/>
    <w:unhideWhenUsed/>
    <w:rsid w:val="009308C4"/>
    <w:rPr>
      <w:b/>
      <w:bCs/>
    </w:rPr>
  </w:style>
  <w:style w:type="character" w:customStyle="1" w:styleId="CommentSubjectChar">
    <w:name w:val="Comment Subject Char"/>
    <w:basedOn w:val="CommentTextChar"/>
    <w:link w:val="CommentSubject"/>
    <w:uiPriority w:val="99"/>
    <w:semiHidden/>
    <w:rsid w:val="009308C4"/>
    <w:rPr>
      <w:rFonts w:ascii="StoneSerif" w:eastAsia="Times New Roman" w:hAnsi="StoneSerif"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1885">
      <w:bodyDiv w:val="1"/>
      <w:marLeft w:val="0"/>
      <w:marRight w:val="0"/>
      <w:marTop w:val="0"/>
      <w:marBottom w:val="0"/>
      <w:divBdr>
        <w:top w:val="none" w:sz="0" w:space="0" w:color="auto"/>
        <w:left w:val="none" w:sz="0" w:space="0" w:color="auto"/>
        <w:bottom w:val="none" w:sz="0" w:space="0" w:color="auto"/>
        <w:right w:val="none" w:sz="0" w:space="0" w:color="auto"/>
      </w:divBdr>
    </w:div>
    <w:div w:id="1204945310">
      <w:bodyDiv w:val="1"/>
      <w:marLeft w:val="0"/>
      <w:marRight w:val="0"/>
      <w:marTop w:val="0"/>
      <w:marBottom w:val="0"/>
      <w:divBdr>
        <w:top w:val="none" w:sz="0" w:space="0" w:color="auto"/>
        <w:left w:val="none" w:sz="0" w:space="0" w:color="auto"/>
        <w:bottom w:val="none" w:sz="0" w:space="0" w:color="auto"/>
        <w:right w:val="none" w:sz="0" w:space="0" w:color="auto"/>
      </w:divBdr>
      <w:divsChild>
        <w:div w:id="1281642632">
          <w:marLeft w:val="360"/>
          <w:marRight w:val="0"/>
          <w:marTop w:val="0"/>
          <w:marBottom w:val="0"/>
          <w:divBdr>
            <w:top w:val="none" w:sz="0" w:space="0" w:color="auto"/>
            <w:left w:val="none" w:sz="0" w:space="0" w:color="auto"/>
            <w:bottom w:val="none" w:sz="0" w:space="0" w:color="auto"/>
            <w:right w:val="none" w:sz="0" w:space="0" w:color="auto"/>
          </w:divBdr>
        </w:div>
        <w:div w:id="14659288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wilo.com" TargetMode="External"/><Relationship Id="rId3" Type="http://schemas.openxmlformats.org/officeDocument/2006/relationships/settings" Target="settings.xml"/><Relationship Id="rId7" Type="http://schemas.openxmlformats.org/officeDocument/2006/relationships/hyperlink" Target="mailto:wilo@wi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meran\AppData\Roaming\Microsoft\Templates\WILO%20Logo_hoch_3c.dotx" TargetMode="External"/></Relationships>
</file>

<file path=word/theme/theme1.xml><?xml version="1.0" encoding="utf-8"?>
<a:theme xmlns:a="http://schemas.openxmlformats.org/drawingml/2006/main" name="Larissa">
  <a:themeElements>
    <a:clrScheme name="Wilo PPT 2012-07-26b">
      <a:dk1>
        <a:sysClr val="windowText" lastClr="000000"/>
      </a:dk1>
      <a:lt1>
        <a:sysClr val="window" lastClr="FFFFFF"/>
      </a:lt1>
      <a:dk2>
        <a:srgbClr val="505050"/>
      </a:dk2>
      <a:lt2>
        <a:srgbClr val="AAC800"/>
      </a:lt2>
      <a:accent1>
        <a:srgbClr val="009C82"/>
      </a:accent1>
      <a:accent2>
        <a:srgbClr val="505050"/>
      </a:accent2>
      <a:accent3>
        <a:srgbClr val="787878"/>
      </a:accent3>
      <a:accent4>
        <a:srgbClr val="FFB400"/>
      </a:accent4>
      <a:accent5>
        <a:srgbClr val="005ACD"/>
      </a:accent5>
      <a:accent6>
        <a:srgbClr val="F54100"/>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WILO Logo_hoch_3c.dotx</Template>
  <TotalTime>1</TotalTime>
  <Pages>4</Pages>
  <Words>7392</Words>
  <Characters>4215</Characters>
  <Application>Microsoft Office Word</Application>
  <DocSecurity>0</DocSecurity>
  <Lines>35</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WILO SE</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Staelberg Marisa</dc:creator>
  <cp:lastModifiedBy>Gintare</cp:lastModifiedBy>
  <cp:revision>7</cp:revision>
  <cp:lastPrinted>2020-06-23T12:31:00Z</cp:lastPrinted>
  <dcterms:created xsi:type="dcterms:W3CDTF">2020-12-06T10:05:00Z</dcterms:created>
  <dcterms:modified xsi:type="dcterms:W3CDTF">2022-04-14T14:57:00Z</dcterms:modified>
</cp:coreProperties>
</file>