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C30856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F32AB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5107764</wp:posOffset>
            </wp:positionH>
            <wp:positionV relativeFrom="paragraph">
              <wp:posOffset>478</wp:posOffset>
            </wp:positionV>
            <wp:extent cx="1304813" cy="1518557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813" cy="151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5162" w:rsidRPr="00C36B43" w:rsidRDefault="00DA3D8F" w:rsidP="00675162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302AA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22DE" w:rsidRPr="00DD22DE" w:rsidRDefault="00DD22DE" w:rsidP="00DD22DE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La station de relevage sera de </w:t>
                            </w:r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marque </w:t>
                            </w:r>
                            <w:proofErr w:type="spellStart"/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EMUport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CORE </w:t>
                            </w:r>
                            <w:r w:rsidRPr="00DD22D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constitué d’une cuve monobloc en matériaux composite et de deux corps de pompe intégré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DD22D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dans la cuve associée à un coffret de commande type WILO-Control SC-Lift FTS.</w:t>
                            </w:r>
                          </w:p>
                          <w:p w:rsidR="00DD22DE" w:rsidRDefault="00DD22DE" w:rsidP="00DD22DE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Le système fonctionnera sur un principe de</w:t>
                            </w:r>
                            <w:r w:rsidRPr="004660C4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f</w:t>
                            </w:r>
                            <w:r w:rsidRPr="004660C4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iltre de séparation restitution des solides</w:t>
                            </w:r>
                          </w:p>
                          <w:p w:rsidR="00DD22DE" w:rsidRDefault="00DD22DE" w:rsidP="00DD22DE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Garantie constructeur de 2 ans et </w:t>
                            </w:r>
                            <w:r w:rsidRPr="00341D62">
                              <w:rPr>
                                <w:color w:val="000000"/>
                              </w:rPr>
                              <w:t>mise en service par le fabricant.</w:t>
                            </w:r>
                          </w:p>
                          <w:p w:rsidR="00DD22DE" w:rsidRDefault="00DD22DE" w:rsidP="00DD22DE">
                            <w:pPr>
                              <w:pStyle w:val="Sansinterligne"/>
                              <w:rPr>
                                <w:color w:val="000000"/>
                                <w:lang w:eastAsia="fr-FR"/>
                              </w:rPr>
                            </w:pPr>
                          </w:p>
                          <w:p w:rsidR="00DD22DE" w:rsidRPr="00DD22DE" w:rsidRDefault="00DD22DE" w:rsidP="00DD22DE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DD22DE" w:rsidRDefault="00DD22DE" w:rsidP="00C30856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D22D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Station de relevage des eaux chargées standard avec système de séparation-restitution des solides conformément à la norme DIN EN 12050-1 pour une installation dans le bâtiment ou la cuve en béton pour une installation en extérieur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D22DE" w:rsidRDefault="00DD22DE" w:rsidP="00C30856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D22D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Pompage d'eaux chargées qui ne peuvent pas être conduites aux égouts grâce à l'inclinaison naturelle et pour le drainage d'éléments situés sous le niveau de reflux (selon DIN EN 12056/DIN 1986-100).</w:t>
                            </w:r>
                          </w:p>
                          <w:p w:rsidR="00C30856" w:rsidRDefault="00DD22DE" w:rsidP="00C30856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D22D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Station de relevage des eaux chargées à moteur immergé, prête à être branchée avec séparation-restitution des solides. Réservoir collecteur en une seule pièce étanche à l'eau et au gaz sans soudures de construction et deux réservoirs de rétention des solides </w:t>
                            </w:r>
                            <w:proofErr w:type="spellStart"/>
                            <w:r w:rsidRPr="00DD22D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verrouillables</w:t>
                            </w:r>
                            <w:proofErr w:type="spellEnd"/>
                            <w:r w:rsidRPr="00DD22D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séparés. Le réservoir collecteur possède des formes géométriques arrondies, le fond du conteneur est biseauté, le point le plus pr</w:t>
                            </w:r>
                            <w:bookmarkStart w:id="0" w:name="_GoBack"/>
                            <w:bookmarkEnd w:id="0"/>
                            <w:r w:rsidRPr="00DD22D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ofond se situe directement en-dessous des pompes. Cette forme empêche toute apparition de dépôts ainsi que l'assèchement de substances solides dans les endroits difficiles d'accès. Grâce au pré-filtrage dans les réservoirs de rétention des solides, les matières solides sont séparées du fluide et seules les eaux chargées </w:t>
                            </w:r>
                            <w:proofErr w:type="spellStart"/>
                            <w:r w:rsidRPr="00DD22D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pré-filtrées</w:t>
                            </w:r>
                            <w:proofErr w:type="spellEnd"/>
                            <w:r w:rsidRPr="00DD22D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sont introduites dans le réservoir collecteur. Le pompage s'effectue à l'aide de deux pompes submersibles individuelles pour eaux chargées en installation à sec. Les pompes se présentent comme une installation à double pompe redondante et fonctionnent en marche alternée. Le pilotage du niveau est assuré par un capteur de niveau 0…2,5 </w:t>
                            </w:r>
                            <w:proofErr w:type="spellStart"/>
                            <w:r w:rsidRPr="00DD22D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Mws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D22DE" w:rsidRDefault="00DD22DE" w:rsidP="00C30856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D22D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Le modèle « B » est équipé d'un </w:t>
                            </w:r>
                            <w:r w:rsidRPr="00DD22D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rétro lavage</w:t>
                            </w:r>
                            <w:r w:rsidRPr="00DD22D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automatique dans le réservoir collecteur pour renforcer l'efficacité du nettoyage. Le coffret de commande correspondant de la série SC-L est disponible comme accessoire.</w:t>
                            </w:r>
                          </w:p>
                          <w:p w:rsidR="00DD22DE" w:rsidRPr="00F32ABF" w:rsidRDefault="00DD22DE" w:rsidP="00C30856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D22DE" w:rsidRDefault="00DD22DE" w:rsidP="00DD22DE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6B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 manière générale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la station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de relevage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devra </w:t>
                            </w:r>
                            <w:r w:rsidRPr="00196B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répondre aux exigences suivantes : </w:t>
                            </w:r>
                          </w:p>
                          <w:p w:rsidR="00DD22DE" w:rsidRPr="00DD22DE" w:rsidRDefault="00DD22DE" w:rsidP="00DD22DE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440B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Conformité aux normes NF EN 752:2008-03 et EN 12050</w:t>
                            </w:r>
                          </w:p>
                          <w:p w:rsidR="00DD22DE" w:rsidRPr="00A34B87" w:rsidRDefault="00DD22DE" w:rsidP="00DD22DE">
                            <w:pPr>
                              <w:pStyle w:val="Default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A34B8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Plage de température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du fluide </w:t>
                            </w:r>
                            <w:r w:rsidRPr="00A34B8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°C à 40°C.</w:t>
                            </w:r>
                          </w:p>
                          <w:p w:rsidR="00DD22DE" w:rsidRPr="00DD22DE" w:rsidRDefault="00DD22DE" w:rsidP="00DD22DE">
                            <w:pPr>
                              <w:pStyle w:val="Default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Volume de cuve de 440 litres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u 1200 litres suivant modèle.</w:t>
                            </w:r>
                          </w:p>
                          <w:p w:rsidR="00DD22DE" w:rsidRDefault="00DD22DE" w:rsidP="00DD22DE">
                            <w:pPr>
                              <w:pStyle w:val="Default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DD22D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Pom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pes de classe de protection IP68, légèrement inclinées </w:t>
                            </w:r>
                            <w:r w:rsidRPr="00C440B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pour un dégazage automatique avec moteur IE3, conformément à la norme IEC 60030</w:t>
                            </w:r>
                            <w:r w:rsidRPr="00C440B7"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w:t>‑</w:t>
                            </w:r>
                            <w:r w:rsidRPr="00C440B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  <w:p w:rsidR="00DD22DE" w:rsidRPr="00DD22DE" w:rsidRDefault="00DD22DE" w:rsidP="00DD22DE">
                            <w:pPr>
                              <w:pStyle w:val="Default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DD22D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Corps de pompe, roue et carter moteur et en fonte grise, arbre en acier inoxydable.</w:t>
                            </w:r>
                          </w:p>
                          <w:p w:rsidR="00DD22DE" w:rsidRPr="00C440B7" w:rsidRDefault="00DD22DE" w:rsidP="00DD22DE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440B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Réservoir de rétention des solides en PE anticorrosion</w:t>
                            </w:r>
                          </w:p>
                          <w:p w:rsidR="00DD22DE" w:rsidRPr="00DD22DE" w:rsidRDefault="00DD22DE" w:rsidP="00DD22DE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ind w:left="1428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DD22D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Mode de fonctionnement non immergé 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S3-50</w:t>
                            </w:r>
                            <w:r w:rsidRPr="00DD22D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:rsidR="00DD22DE" w:rsidRPr="00DD22DE" w:rsidRDefault="00DD22DE" w:rsidP="00DD22DE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ind w:left="1428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DD22D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Installation dans bâtiment ou cuve béton sous FEA</w:t>
                            </w:r>
                          </w:p>
                          <w:p w:rsidR="00DD22DE" w:rsidRPr="00C440B7" w:rsidRDefault="00DD22DE" w:rsidP="00DD22DE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440B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Réservoir de rétention des solides en PE anticorrosion</w:t>
                            </w:r>
                          </w:p>
                          <w:p w:rsidR="00DD22DE" w:rsidRDefault="00DD22DE" w:rsidP="00DD22DE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440B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Entretien possible même pendant le fonctionnement. Aucune interruption du cycle de fonctionnement.</w:t>
                            </w:r>
                          </w:p>
                          <w:p w:rsidR="00DD22DE" w:rsidRDefault="00DD22DE" w:rsidP="00DD22DE">
                            <w:pPr>
                              <w:pStyle w:val="Default"/>
                              <w:ind w:left="1428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DD22DE" w:rsidRDefault="00DD22DE" w:rsidP="00DD22DE">
                            <w:pPr>
                              <w:pStyle w:val="Default"/>
                              <w:ind w:left="1428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DD22DE" w:rsidRDefault="00DD22DE" w:rsidP="00DD22DE">
                            <w:pPr>
                              <w:pStyle w:val="Default"/>
                              <w:ind w:left="1428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DD22DE" w:rsidRPr="00A167E0" w:rsidRDefault="00DD22DE" w:rsidP="00DD22DE">
                            <w:pPr>
                              <w:pStyle w:val="Default"/>
                              <w:ind w:left="1428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C568EF" w:rsidRPr="00061413" w:rsidRDefault="00C568EF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DD22DE" w:rsidRPr="00DD22DE" w:rsidRDefault="00DD22DE" w:rsidP="00DD22DE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La station de relevage sera de </w:t>
                      </w:r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marque </w:t>
                      </w:r>
                      <w:proofErr w:type="spellStart"/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EMUport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CORE </w:t>
                      </w:r>
                      <w:r w:rsidRPr="00DD22D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constitué d’une cuve monobloc en matériaux composite et de deux corps de pompe intégré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Pr="00DD22D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dans la cuve associée à un coffret de commande type WILO-Control SC-Lift FTS.</w:t>
                      </w:r>
                    </w:p>
                    <w:p w:rsidR="00DD22DE" w:rsidRDefault="00DD22DE" w:rsidP="00DD22DE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Le système fonctionnera sur un principe de</w:t>
                      </w:r>
                      <w:r w:rsidRPr="004660C4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f</w:t>
                      </w:r>
                      <w:r w:rsidRPr="004660C4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iltre de séparation restitution des solides</w:t>
                      </w:r>
                    </w:p>
                    <w:p w:rsidR="00DD22DE" w:rsidRDefault="00DD22DE" w:rsidP="00DD22DE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Garantie constructeur de 2 ans et </w:t>
                      </w:r>
                      <w:r w:rsidRPr="00341D62">
                        <w:rPr>
                          <w:color w:val="000000"/>
                        </w:rPr>
                        <w:t>mise en service par le fabricant.</w:t>
                      </w:r>
                    </w:p>
                    <w:p w:rsidR="00DD22DE" w:rsidRDefault="00DD22DE" w:rsidP="00DD22DE">
                      <w:pPr>
                        <w:pStyle w:val="Sansinterligne"/>
                        <w:rPr>
                          <w:color w:val="000000"/>
                          <w:lang w:eastAsia="fr-FR"/>
                        </w:rPr>
                      </w:pPr>
                    </w:p>
                    <w:p w:rsidR="00DD22DE" w:rsidRPr="00DD22DE" w:rsidRDefault="00DD22DE" w:rsidP="00DD22DE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DD22DE" w:rsidRDefault="00DD22DE" w:rsidP="00C30856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DD22D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Station de relevage des eaux chargées standard avec système de séparation-restitution des solides conformément à la norme DIN EN 12050-1 pour une installation dans le bâtiment ou la cuve en béton pour une installation en extérieur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DD22DE" w:rsidRDefault="00DD22DE" w:rsidP="00C30856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DD22D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Pompage d'eaux chargées qui ne peuvent pas être conduites aux égouts grâce à l'inclinaison naturelle et pour le drainage d'éléments situés sous le niveau de reflux (selon DIN EN 12056/DIN 1986-100).</w:t>
                      </w:r>
                    </w:p>
                    <w:p w:rsidR="00C30856" w:rsidRDefault="00DD22DE" w:rsidP="00C30856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DD22D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Station de relevage des eaux chargées à moteur immergé, prête à être branchée avec séparation-restitution des solides. Réservoir collecteur en une seule pièce étanche à l'eau et au gaz sans soudures de construction et deux réservoirs de rétention des solides </w:t>
                      </w:r>
                      <w:proofErr w:type="spellStart"/>
                      <w:r w:rsidRPr="00DD22D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verrouillables</w:t>
                      </w:r>
                      <w:proofErr w:type="spellEnd"/>
                      <w:r w:rsidRPr="00DD22D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séparés. Le réservoir collecteur possède des formes géométriques arrondies, le fond du conteneur est biseauté, le point le plus pr</w:t>
                      </w:r>
                      <w:bookmarkStart w:id="1" w:name="_GoBack"/>
                      <w:bookmarkEnd w:id="1"/>
                      <w:r w:rsidRPr="00DD22D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ofond se situe directement en-dessous des pompes. Cette forme empêche toute apparition de dépôts ainsi que l'assèchement de substances solides dans les endroits difficiles d'accès. Grâce au pré-filtrage dans les réservoirs de rétention des solides, les matières solides sont séparées du fluide et seules les eaux chargées </w:t>
                      </w:r>
                      <w:proofErr w:type="spellStart"/>
                      <w:r w:rsidRPr="00DD22D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pré-filtrées</w:t>
                      </w:r>
                      <w:proofErr w:type="spellEnd"/>
                      <w:r w:rsidRPr="00DD22D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sont introduites dans le réservoir collecteur. Le pompage s'effectue à l'aide de deux pompes submersibles individuelles pour eaux chargées en installation à sec. Les pompes se présentent comme une installation à double pompe redondante et fonctionnent en marche alternée. Le pilotage du niveau est assuré par un capteur de niveau 0…2,5 </w:t>
                      </w:r>
                      <w:proofErr w:type="spellStart"/>
                      <w:r w:rsidRPr="00DD22D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Mws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DD22DE" w:rsidRDefault="00DD22DE" w:rsidP="00C30856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DD22D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Le modèle « B » est équipé d'un </w:t>
                      </w:r>
                      <w:r w:rsidRPr="00DD22D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rétro lavage</w:t>
                      </w:r>
                      <w:r w:rsidRPr="00DD22D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automatique dans le réservoir collecteur pour renforcer l'efficacité du nettoyage. Le coffret de commande correspondant de la série SC-L est disponible comme accessoire.</w:t>
                      </w:r>
                    </w:p>
                    <w:p w:rsidR="00DD22DE" w:rsidRPr="00F32ABF" w:rsidRDefault="00DD22DE" w:rsidP="00C30856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DD22DE" w:rsidRDefault="00DD22DE" w:rsidP="00DD22DE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196B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 manière générale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la station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de relevage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devra </w:t>
                      </w:r>
                      <w:r w:rsidRPr="00196B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répondre aux exigences suivantes : </w:t>
                      </w:r>
                    </w:p>
                    <w:p w:rsidR="00DD22DE" w:rsidRPr="00DD22DE" w:rsidRDefault="00DD22DE" w:rsidP="00DD22DE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C440B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Conformité aux normes NF EN 752:2008-03 et EN 12050</w:t>
                      </w:r>
                    </w:p>
                    <w:p w:rsidR="00DD22DE" w:rsidRPr="00A34B87" w:rsidRDefault="00DD22DE" w:rsidP="00DD22DE">
                      <w:pPr>
                        <w:pStyle w:val="Default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A34B87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Plage de température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du fluide </w:t>
                      </w:r>
                      <w:r w:rsidRPr="00A34B87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°C à 40°C.</w:t>
                      </w:r>
                    </w:p>
                    <w:p w:rsidR="00DD22DE" w:rsidRPr="00DD22DE" w:rsidRDefault="00DD22DE" w:rsidP="00DD22DE">
                      <w:pPr>
                        <w:pStyle w:val="Default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Volume de cuve de 440 litres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u 1200 litres suivant modèle.</w:t>
                      </w:r>
                    </w:p>
                    <w:p w:rsidR="00DD22DE" w:rsidRDefault="00DD22DE" w:rsidP="00DD22DE">
                      <w:pPr>
                        <w:pStyle w:val="Default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DD22D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Pom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pes de classe de protection IP68, légèrement inclinées </w:t>
                      </w:r>
                      <w:r w:rsidRPr="00C440B7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pour un dégazage automatique avec moteur IE3, conformément à la norme IEC 60030</w:t>
                      </w:r>
                      <w:r w:rsidRPr="00C440B7"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w:t>‑</w:t>
                      </w:r>
                      <w:r w:rsidRPr="00C440B7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2.</w:t>
                      </w:r>
                    </w:p>
                    <w:p w:rsidR="00DD22DE" w:rsidRPr="00DD22DE" w:rsidRDefault="00DD22DE" w:rsidP="00DD22DE">
                      <w:pPr>
                        <w:pStyle w:val="Default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DD22D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Corps de pompe, roue et carter moteur et en fonte grise, arbre en acier inoxydable.</w:t>
                      </w:r>
                    </w:p>
                    <w:p w:rsidR="00DD22DE" w:rsidRPr="00C440B7" w:rsidRDefault="00DD22DE" w:rsidP="00DD22DE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C440B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Réservoir de rétention des solides en PE anticorrosion</w:t>
                      </w:r>
                    </w:p>
                    <w:p w:rsidR="00DD22DE" w:rsidRPr="00DD22DE" w:rsidRDefault="00DD22DE" w:rsidP="00DD22DE">
                      <w:pPr>
                        <w:pStyle w:val="Default"/>
                        <w:numPr>
                          <w:ilvl w:val="0"/>
                          <w:numId w:val="28"/>
                        </w:numPr>
                        <w:ind w:left="1428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DD22D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Mode de fonctionnement non immergé 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S3-50</w:t>
                      </w:r>
                      <w:r w:rsidRPr="00DD22D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%</w:t>
                      </w:r>
                    </w:p>
                    <w:p w:rsidR="00DD22DE" w:rsidRPr="00DD22DE" w:rsidRDefault="00DD22DE" w:rsidP="00DD22DE">
                      <w:pPr>
                        <w:pStyle w:val="Default"/>
                        <w:numPr>
                          <w:ilvl w:val="0"/>
                          <w:numId w:val="28"/>
                        </w:numPr>
                        <w:ind w:left="1428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DD22D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Installation dans bâtiment ou cuve béton sous FEA</w:t>
                      </w:r>
                    </w:p>
                    <w:p w:rsidR="00DD22DE" w:rsidRPr="00C440B7" w:rsidRDefault="00DD22DE" w:rsidP="00DD22DE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C440B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Réservoir de rétention des solides en PE anticorrosion</w:t>
                      </w:r>
                    </w:p>
                    <w:p w:rsidR="00DD22DE" w:rsidRDefault="00DD22DE" w:rsidP="00DD22DE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C440B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Entretien possible même pendant le fonctionnement. Aucune interruption du cycle de fonctionnement.</w:t>
                      </w:r>
                    </w:p>
                    <w:p w:rsidR="00DD22DE" w:rsidRDefault="00DD22DE" w:rsidP="00DD22DE">
                      <w:pPr>
                        <w:pStyle w:val="Default"/>
                        <w:ind w:left="1428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DD22DE" w:rsidRDefault="00DD22DE" w:rsidP="00DD22DE">
                      <w:pPr>
                        <w:pStyle w:val="Default"/>
                        <w:ind w:left="1428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DD22DE" w:rsidRDefault="00DD22DE" w:rsidP="00DD22DE">
                      <w:pPr>
                        <w:pStyle w:val="Default"/>
                        <w:ind w:left="1428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DD22DE" w:rsidRPr="00A167E0" w:rsidRDefault="00DD22DE" w:rsidP="00DD22DE">
                      <w:pPr>
                        <w:pStyle w:val="Default"/>
                        <w:ind w:left="1428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C568EF" w:rsidRPr="00061413" w:rsidRDefault="00C568EF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66" w:rsidRPr="009302A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68762C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station de relevage </w:t>
      </w:r>
    </w:p>
    <w:p w:rsidR="00265313" w:rsidRPr="003A23A2" w:rsidRDefault="00265313" w:rsidP="00265313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proofErr w:type="spellStart"/>
      <w:r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r w:rsidR="00C30856" w:rsidRPr="00C80FE3">
        <w:rPr>
          <w:rFonts w:ascii="BabyMine Plump" w:hAnsi="BabyMine Plump"/>
          <w:color w:val="BFBFBF" w:themeColor="background1" w:themeShade="BF"/>
          <w:sz w:val="36"/>
          <w:szCs w:val="36"/>
        </w:rPr>
        <w:t>-EMUport</w:t>
      </w:r>
      <w:proofErr w:type="spellEnd"/>
      <w:r w:rsidR="00C30856" w:rsidRPr="00C80FE3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CORE</w:t>
      </w:r>
    </w:p>
    <w:p w:rsidR="00682482" w:rsidRDefault="00682482" w:rsidP="00675162"/>
    <w:p w:rsidR="006C6DA1" w:rsidRPr="009302AA" w:rsidRDefault="006C6DA1">
      <w:pPr>
        <w:rPr>
          <w:sz w:val="36"/>
          <w:szCs w:val="36"/>
        </w:rPr>
      </w:pPr>
    </w:p>
    <w:sectPr w:rsidR="006C6DA1" w:rsidRPr="009302AA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E5" w:rsidRDefault="00DE07E5" w:rsidP="00DA3D8F">
      <w:r>
        <w:separator/>
      </w:r>
    </w:p>
  </w:endnote>
  <w:endnote w:type="continuationSeparator" w:id="0">
    <w:p w:rsidR="00DE07E5" w:rsidRDefault="00DE07E5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LOPlusGlobal-Regular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LOPlusGloba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E5" w:rsidRDefault="00DE07E5" w:rsidP="00DA3D8F">
      <w:r>
        <w:separator/>
      </w:r>
    </w:p>
  </w:footnote>
  <w:footnote w:type="continuationSeparator" w:id="0">
    <w:p w:rsidR="00DE07E5" w:rsidRDefault="00DE07E5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3D1"/>
    <w:multiLevelType w:val="hybridMultilevel"/>
    <w:tmpl w:val="32D22178"/>
    <w:lvl w:ilvl="0" w:tplc="B1E65BFE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C523D94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DC2076C2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15EE4C6">
      <w:start w:val="1"/>
      <w:numFmt w:val="bullet"/>
      <w:lvlText w:val="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4" w:tplc="1E2A8428">
      <w:start w:val="1"/>
      <w:numFmt w:val="bullet"/>
      <w:lvlText w:val="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5" w:tplc="6F7ECAC4">
      <w:start w:val="1"/>
      <w:numFmt w:val="bullet"/>
      <w:lvlText w:val="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6E74E004">
      <w:start w:val="1"/>
      <w:numFmt w:val="bullet"/>
      <w:lvlText w:val="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7" w:tplc="8EF60756">
      <w:start w:val="1"/>
      <w:numFmt w:val="bullet"/>
      <w:lvlText w:val="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8" w:tplc="F2B2411A">
      <w:start w:val="1"/>
      <w:numFmt w:val="bullet"/>
      <w:lvlText w:val="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E8596D"/>
    <w:multiLevelType w:val="hybridMultilevel"/>
    <w:tmpl w:val="ACF49AFC"/>
    <w:lvl w:ilvl="0" w:tplc="B4CEF15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52B51"/>
    <w:multiLevelType w:val="hybridMultilevel"/>
    <w:tmpl w:val="B39E37AC"/>
    <w:lvl w:ilvl="0" w:tplc="9E1E783A">
      <w:numFmt w:val="bullet"/>
      <w:lvlText w:val="-"/>
      <w:lvlJc w:val="left"/>
      <w:pPr>
        <w:ind w:left="720" w:hanging="360"/>
      </w:pPr>
      <w:rPr>
        <w:rFonts w:ascii="WILOPlusGlobal-Regular" w:eastAsia="WILOPlusGlobal-Regular" w:hAnsi="WILOPlusGlobal-Bold" w:cs="WILOPlusGlobal-Regular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F6C46"/>
    <w:multiLevelType w:val="hybridMultilevel"/>
    <w:tmpl w:val="32DEE7E6"/>
    <w:lvl w:ilvl="0" w:tplc="DA6C23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33516CEE"/>
    <w:multiLevelType w:val="hybridMultilevel"/>
    <w:tmpl w:val="72467DE0"/>
    <w:lvl w:ilvl="0" w:tplc="F1F26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24807"/>
    <w:multiLevelType w:val="hybridMultilevel"/>
    <w:tmpl w:val="F06ACB74"/>
    <w:lvl w:ilvl="0" w:tplc="B6D6A8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40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093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6B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C51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E5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00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826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AC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E5CEC"/>
    <w:multiLevelType w:val="hybridMultilevel"/>
    <w:tmpl w:val="CFA6A1C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41AE5"/>
    <w:multiLevelType w:val="hybridMultilevel"/>
    <w:tmpl w:val="A2AAC8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75272B"/>
    <w:multiLevelType w:val="hybridMultilevel"/>
    <w:tmpl w:val="E180798E"/>
    <w:lvl w:ilvl="0" w:tplc="9FA8A19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A0A5D"/>
    <w:multiLevelType w:val="hybridMultilevel"/>
    <w:tmpl w:val="2B140A48"/>
    <w:lvl w:ilvl="0" w:tplc="24509A54">
      <w:numFmt w:val="bullet"/>
      <w:lvlText w:val="-"/>
      <w:lvlJc w:val="left"/>
      <w:pPr>
        <w:ind w:left="720" w:hanging="360"/>
      </w:pPr>
      <w:rPr>
        <w:rFonts w:ascii="MHKDIG+TimesNewRoman,Bold" w:eastAsiaTheme="minorHAnsi" w:hAnsi="MHKDIG+TimesNewRoman,Bold" w:cs="MHKDIG+TimesNewRoman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E935292"/>
    <w:multiLevelType w:val="hybridMultilevel"/>
    <w:tmpl w:val="C3C4D618"/>
    <w:lvl w:ilvl="0" w:tplc="EEBA1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64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A6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CB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A5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E2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0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2E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6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7960F76"/>
    <w:multiLevelType w:val="hybridMultilevel"/>
    <w:tmpl w:val="7B5A91BA"/>
    <w:lvl w:ilvl="0" w:tplc="DD8C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5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8D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44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B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6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2F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A57CC"/>
    <w:multiLevelType w:val="hybridMultilevel"/>
    <w:tmpl w:val="E8CEE220"/>
    <w:lvl w:ilvl="0" w:tplc="67F6B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8B9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8EA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8FF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8B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02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E5F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802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862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7"/>
  </w:num>
  <w:num w:numId="4">
    <w:abstractNumId w:val="7"/>
  </w:num>
  <w:num w:numId="5">
    <w:abstractNumId w:val="10"/>
  </w:num>
  <w:num w:numId="6">
    <w:abstractNumId w:val="30"/>
  </w:num>
  <w:num w:numId="7">
    <w:abstractNumId w:val="17"/>
  </w:num>
  <w:num w:numId="8">
    <w:abstractNumId w:val="6"/>
  </w:num>
  <w:num w:numId="9">
    <w:abstractNumId w:val="18"/>
  </w:num>
  <w:num w:numId="10">
    <w:abstractNumId w:val="24"/>
  </w:num>
  <w:num w:numId="11">
    <w:abstractNumId w:val="25"/>
  </w:num>
  <w:num w:numId="12">
    <w:abstractNumId w:val="20"/>
  </w:num>
  <w:num w:numId="13">
    <w:abstractNumId w:val="21"/>
  </w:num>
  <w:num w:numId="14">
    <w:abstractNumId w:val="12"/>
  </w:num>
  <w:num w:numId="15">
    <w:abstractNumId w:val="5"/>
  </w:num>
  <w:num w:numId="16">
    <w:abstractNumId w:val="11"/>
  </w:num>
  <w:num w:numId="17">
    <w:abstractNumId w:val="14"/>
  </w:num>
  <w:num w:numId="18">
    <w:abstractNumId w:val="4"/>
  </w:num>
  <w:num w:numId="19">
    <w:abstractNumId w:val="15"/>
  </w:num>
  <w:num w:numId="20">
    <w:abstractNumId w:val="2"/>
  </w:num>
  <w:num w:numId="21">
    <w:abstractNumId w:val="22"/>
  </w:num>
  <w:num w:numId="22">
    <w:abstractNumId w:val="13"/>
  </w:num>
  <w:num w:numId="23">
    <w:abstractNumId w:val="29"/>
  </w:num>
  <w:num w:numId="24">
    <w:abstractNumId w:val="28"/>
  </w:num>
  <w:num w:numId="25">
    <w:abstractNumId w:val="26"/>
  </w:num>
  <w:num w:numId="26">
    <w:abstractNumId w:val="23"/>
  </w:num>
  <w:num w:numId="27">
    <w:abstractNumId w:val="8"/>
  </w:num>
  <w:num w:numId="28">
    <w:abstractNumId w:val="9"/>
  </w:num>
  <w:num w:numId="29">
    <w:abstractNumId w:val="0"/>
  </w:num>
  <w:num w:numId="30">
    <w:abstractNumId w:val="1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61413"/>
    <w:rsid w:val="000A554F"/>
    <w:rsid w:val="001143F1"/>
    <w:rsid w:val="0013596E"/>
    <w:rsid w:val="001522EB"/>
    <w:rsid w:val="00156595"/>
    <w:rsid w:val="001A0268"/>
    <w:rsid w:val="001C033F"/>
    <w:rsid w:val="001C0C1A"/>
    <w:rsid w:val="00213812"/>
    <w:rsid w:val="00224F1B"/>
    <w:rsid w:val="00243E7B"/>
    <w:rsid w:val="00265313"/>
    <w:rsid w:val="002801EB"/>
    <w:rsid w:val="002A2D70"/>
    <w:rsid w:val="002A4FEC"/>
    <w:rsid w:val="002C5E11"/>
    <w:rsid w:val="002F7CA1"/>
    <w:rsid w:val="00305248"/>
    <w:rsid w:val="00333960"/>
    <w:rsid w:val="00341D62"/>
    <w:rsid w:val="00343B4F"/>
    <w:rsid w:val="003A4750"/>
    <w:rsid w:val="003B4495"/>
    <w:rsid w:val="003B4547"/>
    <w:rsid w:val="003D4CAB"/>
    <w:rsid w:val="0041397E"/>
    <w:rsid w:val="00421887"/>
    <w:rsid w:val="00432AA9"/>
    <w:rsid w:val="00444124"/>
    <w:rsid w:val="0045564E"/>
    <w:rsid w:val="00466782"/>
    <w:rsid w:val="004952DB"/>
    <w:rsid w:val="004C49A8"/>
    <w:rsid w:val="004D4772"/>
    <w:rsid w:val="004E2F0B"/>
    <w:rsid w:val="004F1513"/>
    <w:rsid w:val="00555D0F"/>
    <w:rsid w:val="005762CA"/>
    <w:rsid w:val="005E7EFE"/>
    <w:rsid w:val="00601998"/>
    <w:rsid w:val="00611BA1"/>
    <w:rsid w:val="00652D4D"/>
    <w:rsid w:val="00675162"/>
    <w:rsid w:val="00682482"/>
    <w:rsid w:val="0068762C"/>
    <w:rsid w:val="00692D36"/>
    <w:rsid w:val="006A6E08"/>
    <w:rsid w:val="006C425B"/>
    <w:rsid w:val="006C6DA1"/>
    <w:rsid w:val="00710DC4"/>
    <w:rsid w:val="007222B0"/>
    <w:rsid w:val="00740DB1"/>
    <w:rsid w:val="00785466"/>
    <w:rsid w:val="007A2842"/>
    <w:rsid w:val="007C10E9"/>
    <w:rsid w:val="007E58C9"/>
    <w:rsid w:val="00806993"/>
    <w:rsid w:val="00823C02"/>
    <w:rsid w:val="00860176"/>
    <w:rsid w:val="00860BE3"/>
    <w:rsid w:val="008A1876"/>
    <w:rsid w:val="008A65F7"/>
    <w:rsid w:val="008B1DD1"/>
    <w:rsid w:val="008C024C"/>
    <w:rsid w:val="008C4031"/>
    <w:rsid w:val="008C6EA1"/>
    <w:rsid w:val="008D2853"/>
    <w:rsid w:val="008D6D16"/>
    <w:rsid w:val="008E129C"/>
    <w:rsid w:val="00904D79"/>
    <w:rsid w:val="00924702"/>
    <w:rsid w:val="009302AA"/>
    <w:rsid w:val="00971C72"/>
    <w:rsid w:val="00987E9A"/>
    <w:rsid w:val="009B156F"/>
    <w:rsid w:val="00A167E0"/>
    <w:rsid w:val="00A52065"/>
    <w:rsid w:val="00AE1D4E"/>
    <w:rsid w:val="00AE7E7C"/>
    <w:rsid w:val="00BB74C9"/>
    <w:rsid w:val="00BC1DAE"/>
    <w:rsid w:val="00BD17C4"/>
    <w:rsid w:val="00C30856"/>
    <w:rsid w:val="00C54A1E"/>
    <w:rsid w:val="00C568EF"/>
    <w:rsid w:val="00CA6097"/>
    <w:rsid w:val="00CC3A48"/>
    <w:rsid w:val="00D76711"/>
    <w:rsid w:val="00D869D2"/>
    <w:rsid w:val="00D907ED"/>
    <w:rsid w:val="00DA3D8F"/>
    <w:rsid w:val="00DA4390"/>
    <w:rsid w:val="00DA5984"/>
    <w:rsid w:val="00DD22DE"/>
    <w:rsid w:val="00DD3093"/>
    <w:rsid w:val="00DD62D3"/>
    <w:rsid w:val="00DD7845"/>
    <w:rsid w:val="00DE07E5"/>
    <w:rsid w:val="00DE22F2"/>
    <w:rsid w:val="00E32507"/>
    <w:rsid w:val="00E35C74"/>
    <w:rsid w:val="00E76A8E"/>
    <w:rsid w:val="00EB4995"/>
    <w:rsid w:val="00ED5A00"/>
    <w:rsid w:val="00F81246"/>
    <w:rsid w:val="00F967D0"/>
    <w:rsid w:val="00FA6EC7"/>
    <w:rsid w:val="00FC1440"/>
    <w:rsid w:val="00FC75F3"/>
    <w:rsid w:val="00FE04EF"/>
    <w:rsid w:val="00FE1CF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1F96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22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2140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4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877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3</cp:revision>
  <dcterms:created xsi:type="dcterms:W3CDTF">2020-07-07T14:39:00Z</dcterms:created>
  <dcterms:modified xsi:type="dcterms:W3CDTF">2020-07-14T09:53:00Z</dcterms:modified>
</cp:coreProperties>
</file>