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156456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524B5048" wp14:editId="2E53B26C">
            <wp:simplePos x="0" y="0"/>
            <wp:positionH relativeFrom="column">
              <wp:posOffset>4895957</wp:posOffset>
            </wp:positionH>
            <wp:positionV relativeFrom="page">
              <wp:posOffset>216535</wp:posOffset>
            </wp:positionV>
            <wp:extent cx="1849120" cy="1363345"/>
            <wp:effectExtent l="0" t="0" r="0" b="0"/>
            <wp:wrapSquare wrapText="bothSides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6456">
        <w:rPr>
          <w:rFonts w:ascii="BabyMine Plump" w:hAnsi="BabyMine Plump"/>
          <w:noProof/>
          <w:color w:val="BFBFBF" w:themeColor="background1" w:themeShade="BF"/>
          <w:sz w:val="68"/>
          <w:szCs w:val="68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4052168</wp:posOffset>
            </wp:positionH>
            <wp:positionV relativeFrom="page">
              <wp:posOffset>492911</wp:posOffset>
            </wp:positionV>
            <wp:extent cx="844550" cy="1083310"/>
            <wp:effectExtent l="0" t="0" r="0" b="2540"/>
            <wp:wrapSquare wrapText="bothSides"/>
            <wp:docPr id="1" name="Image 1" descr="C:\Users\Vergnolecy\Desktop\PT2538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gnolecy\Desktop\PT25387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DA1" w:rsidRPr="00855270" w:rsidRDefault="00156456">
      <w:pPr>
        <w:rPr>
          <w:sz w:val="44"/>
          <w:szCs w:val="44"/>
        </w:rPr>
      </w:pPr>
      <w:r w:rsidRPr="00627748">
        <w:rPr>
          <w:rFonts w:ascii="BabyMine Plump" w:hAnsi="BabyMine Plump"/>
          <w:noProof/>
          <w:color w:val="BFBFBF" w:themeColor="background1" w:themeShade="BF"/>
          <w:sz w:val="72"/>
          <w:szCs w:val="72"/>
          <w:lang w:eastAsia="fr-FR"/>
        </w:rPr>
        <w:drawing>
          <wp:anchor distT="0" distB="0" distL="114300" distR="114300" simplePos="0" relativeHeight="251665408" behindDoc="0" locked="0" layoutInCell="1" allowOverlap="1" wp14:anchorId="0F6A8434" wp14:editId="045E7A3D">
            <wp:simplePos x="0" y="0"/>
            <wp:positionH relativeFrom="column">
              <wp:posOffset>5019040</wp:posOffset>
            </wp:positionH>
            <wp:positionV relativeFrom="paragraph">
              <wp:posOffset>98425</wp:posOffset>
            </wp:positionV>
            <wp:extent cx="1027725" cy="116586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9" t="15680" r="32220" b="21893"/>
                    <a:stretch/>
                  </pic:blipFill>
                  <pic:spPr bwMode="auto">
                    <a:xfrm>
                      <a:off x="0" y="0"/>
                      <a:ext cx="102772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270" w:rsidRPr="002F2F3B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 wp14:anchorId="165FE1ED" wp14:editId="776AFADD">
            <wp:simplePos x="0" y="0"/>
            <wp:positionH relativeFrom="column">
              <wp:posOffset>6040655</wp:posOffset>
            </wp:positionH>
            <wp:positionV relativeFrom="paragraph">
              <wp:posOffset>792046</wp:posOffset>
            </wp:positionV>
            <wp:extent cx="365760" cy="391795"/>
            <wp:effectExtent l="0" t="0" r="0" b="8255"/>
            <wp:wrapSquare wrapText="bothSides"/>
            <wp:docPr id="6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2" t="5277" r="17770" b="13214"/>
                    <a:stretch/>
                  </pic:blipFill>
                  <pic:spPr bwMode="auto">
                    <a:xfrm>
                      <a:off x="0" y="0"/>
                      <a:ext cx="365760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D8F" w:rsidRPr="002F2F3B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77E" w:rsidRDefault="0050377E" w:rsidP="0050377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41BA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La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distribution </w:t>
                            </w:r>
                            <w:r w:rsidRPr="00941BA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se fera au travers d’une cascade de pompe</w:t>
                            </w:r>
                            <w:r w:rsidR="0029231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Pr="00941BA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sur un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principe de fonctionnement de plusieurs </w:t>
                            </w:r>
                            <w:r w:rsidRPr="00941BA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pompes en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parallèle (</w:t>
                            </w:r>
                            <w:r w:rsidRPr="00941BA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cascade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  <w:r w:rsidRPr="00941BA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0377E" w:rsidRDefault="0050377E" w:rsidP="0050377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 w:rsidRPr="0050377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pompes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seront de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type centrifuge monocellulaire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en ligne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à moteur ventilé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2F3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de marque </w:t>
                            </w:r>
                            <w:proofErr w:type="spellStart"/>
                            <w:r w:rsidR="002F2F3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proofErr w:type="spellStart"/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="00A113F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tratos</w:t>
                            </w:r>
                            <w:proofErr w:type="spellEnd"/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GIGA </w:t>
                            </w:r>
                            <w:r w:rsidR="00062F9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ou </w:t>
                            </w:r>
                            <w:r w:rsidR="00062F92"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de</w:t>
                            </w:r>
                            <w:r w:rsidR="00062F9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norme EN733,</w:t>
                            </w:r>
                            <w:r w:rsidR="00062F92"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centrifuge</w:t>
                            </w:r>
                            <w:r w:rsidR="00062F92" w:rsidRPr="008F4C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monocellulai</w:t>
                            </w:r>
                            <w:bookmarkStart w:id="0" w:name="_GoBack"/>
                            <w:bookmarkEnd w:id="0"/>
                            <w:r w:rsidR="00062F92" w:rsidRPr="008F4C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re basse pression </w:t>
                            </w:r>
                            <w:r w:rsidR="00062F9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en</w:t>
                            </w:r>
                            <w:r w:rsidR="00062F92" w:rsidRPr="008F4C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construction monobloc, tubulure d'aspiration axiale et bride de refoulement radiale </w:t>
                            </w:r>
                            <w:r w:rsidR="00062F92"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à moteur ventilé</w:t>
                            </w:r>
                            <w:r w:rsidR="00062F9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2F3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de marque </w:t>
                            </w:r>
                            <w:proofErr w:type="spellStart"/>
                            <w:r w:rsidR="002F2F3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="00062F92"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proofErr w:type="spellStart"/>
                            <w:r w:rsidR="00062F92"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="00A113F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tratos</w:t>
                            </w:r>
                            <w:proofErr w:type="spellEnd"/>
                            <w:r w:rsidR="00062F92"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2F9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GIGA</w:t>
                            </w:r>
                            <w:r w:rsidR="00A113F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="00062F9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:rsidR="0050377E" w:rsidRDefault="0050377E" w:rsidP="0050377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41BA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La gestion de la cascade de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 pompes se fera au travers d’un co</w:t>
                            </w:r>
                            <w:r w:rsidR="007E21F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ffret de commande de marque </w:t>
                            </w:r>
                            <w:proofErr w:type="spellStart"/>
                            <w:r w:rsidR="007E21F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 w:rsidR="007E21F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type </w:t>
                            </w:r>
                            <w:proofErr w:type="spellStart"/>
                            <w:r w:rsidR="007E21F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SCe</w:t>
                            </w:r>
                            <w:proofErr w:type="spellEnd"/>
                            <w:r w:rsidR="007E21F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-HVAC</w:t>
                            </w:r>
                            <w:r w:rsidR="0085527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5F36EB" w:rsidRDefault="002643C4" w:rsidP="002643C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Garantie constructeur de 2 ans et </w:t>
                            </w:r>
                            <w:r w:rsidRPr="00341D6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mise en service par le fabricant.</w:t>
                            </w:r>
                          </w:p>
                          <w:p w:rsidR="002813A1" w:rsidRDefault="005F36EB" w:rsidP="00280D6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Descriptif et fonctionnalités :</w:t>
                            </w:r>
                          </w:p>
                          <w:p w:rsidR="0050377E" w:rsidRDefault="0050377E" w:rsidP="0050377E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Les pompes seront équipées d’un moteur synchrone à aimants permanents de classe IE5 selon IEC 60034-30-2 et d’un indice de rendement hydraulique MEI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≥ </w:t>
                            </w:r>
                            <w:r>
                              <w:rPr>
                                <w:color w:val="000000"/>
                              </w:rPr>
                              <w:t xml:space="preserve">0,7 pour </w:t>
                            </w:r>
                            <w:r w:rsidR="00855270">
                              <w:rPr>
                                <w:color w:val="000000"/>
                              </w:rPr>
                              <w:t xml:space="preserve">les </w:t>
                            </w:r>
                            <w:r>
                              <w:rPr>
                                <w:color w:val="000000"/>
                              </w:rPr>
                              <w:t>moteurs inférieurs</w:t>
                            </w:r>
                            <w:r w:rsidR="00855270">
                              <w:rPr>
                                <w:color w:val="000000"/>
                              </w:rPr>
                              <w:t xml:space="preserve"> à 11kw.</w:t>
                            </w:r>
                          </w:p>
                          <w:p w:rsidR="0050377E" w:rsidRPr="00907546" w:rsidRDefault="0050377E" w:rsidP="0050377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Le moteu</w:t>
                            </w:r>
                            <w:r w:rsidR="002F2F3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r synchrone IE5 de la gamme </w:t>
                            </w:r>
                            <w:proofErr w:type="spellStart"/>
                            <w:r w:rsidR="002F2F3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Wilo-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 w:rsidR="00A113F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tratos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GIGA permet de conserver d’excellent rendement à charge partielle en comparaison à un moteur asynchrone.</w:t>
                            </w:r>
                          </w:p>
                          <w:p w:rsidR="002813A1" w:rsidRPr="002813A1" w:rsidRDefault="0050377E" w:rsidP="0050377E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Convertisseur de fréquence intégré permettant d’ajuster la vitesse du circulateur fonction du </w:t>
                            </w:r>
                            <w:r w:rsidRPr="00745D53">
                              <w:rPr>
                                <w:color w:val="000000"/>
                              </w:rPr>
                              <w:t>signal analogique externe</w:t>
                            </w:r>
                            <w:r>
                              <w:rPr>
                                <w:color w:val="000000"/>
                              </w:rPr>
                              <w:t xml:space="preserve"> transmis par le coffret de commande.</w:t>
                            </w:r>
                          </w:p>
                          <w:p w:rsidR="007C68FC" w:rsidRPr="00941BAD" w:rsidRDefault="007C68FC" w:rsidP="007C68F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41BA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La gestion de la cascade de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s pompes se fera au travers </w:t>
                            </w:r>
                            <w:r w:rsidR="0050377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du</w:t>
                            </w:r>
                            <w:r w:rsidRPr="00941BA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coffret de commande associé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au</w:t>
                            </w:r>
                            <w:r w:rsidRPr="00941BA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capteur de pression différentiel pour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permettre une régulation en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différentiel de pression,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∆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p.</w:t>
                            </w:r>
                          </w:p>
                          <w:p w:rsidR="00341D62" w:rsidRDefault="007C68FC" w:rsidP="007C68F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0348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Le coffret de commande permettra d’accompagner les variations de débit d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u réseau tout en régulant la hauteur manométrique</w:t>
                            </w:r>
                            <w:r w:rsidRPr="00B0348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 Le choix des fonctions et les valeurs de réglage sont d</w:t>
                            </w:r>
                            <w:r w:rsidR="0085527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irectement lisibles sur l’écran.</w:t>
                            </w:r>
                          </w:p>
                          <w:p w:rsidR="00855270" w:rsidRDefault="0050377E" w:rsidP="00855270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Interfaces de communication de série en </w:t>
                            </w:r>
                            <w:proofErr w:type="spellStart"/>
                            <w:r w:rsidRPr="00A8476F">
                              <w:rPr>
                                <w:color w:val="000000"/>
                              </w:rPr>
                              <w:t>Modbus</w:t>
                            </w:r>
                            <w:proofErr w:type="spellEnd"/>
                            <w:r w:rsidRPr="00A8476F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RTU, </w:t>
                            </w:r>
                            <w:r w:rsidRPr="00745D53">
                              <w:rPr>
                                <w:color w:val="000000"/>
                              </w:rPr>
                              <w:t>optionnelles</w:t>
                            </w:r>
                            <w:r>
                              <w:rPr>
                                <w:color w:val="000000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BACnet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MS/TP, LON,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CANopen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50377E" w:rsidRPr="0050377E" w:rsidRDefault="0050377E" w:rsidP="0050377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50377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les pompes devront répondre aux exigences suivantes : </w:t>
                            </w:r>
                          </w:p>
                          <w:p w:rsidR="0050377E" w:rsidRDefault="0050377E" w:rsidP="0050377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Moteurs de classe énergétique IE5 selon IEC 60034-30-2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50377E" w:rsidRPr="002F7CA1" w:rsidRDefault="0050377E" w:rsidP="0050377E">
                            <w:pPr>
                              <w:pStyle w:val="Sansinterligne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Indice de rendement hydraulique MEI </w:t>
                            </w:r>
                            <w:r w:rsidRPr="002F7CA1">
                              <w:rPr>
                                <w:color w:val="000000"/>
                              </w:rPr>
                              <w:t xml:space="preserve">≥ </w:t>
                            </w:r>
                            <w:r>
                              <w:rPr>
                                <w:color w:val="000000"/>
                              </w:rPr>
                              <w:t xml:space="preserve">0,7 ou MEI </w:t>
                            </w:r>
                            <w:r w:rsidRPr="002F7CA1">
                              <w:rPr>
                                <w:color w:val="000000"/>
                              </w:rPr>
                              <w:t xml:space="preserve">≥ </w:t>
                            </w:r>
                            <w:r>
                              <w:rPr>
                                <w:color w:val="000000"/>
                              </w:rPr>
                              <w:t>0,4 selon puissance.</w:t>
                            </w:r>
                          </w:p>
                          <w:p w:rsidR="0050377E" w:rsidRDefault="0050377E" w:rsidP="0050377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="00D3090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mpérature du fluide de -20°C à 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140°C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0377E" w:rsidRDefault="0050377E" w:rsidP="0050377E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0 à 40°C.</w:t>
                            </w:r>
                          </w:p>
                          <w:p w:rsidR="0050377E" w:rsidRDefault="0050377E" w:rsidP="0050377E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Pression de service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maximum de 16b jusqu’à 120°C et 13b jusqu’à 140°C</w:t>
                            </w:r>
                          </w:p>
                          <w:p w:rsidR="0050377E" w:rsidRPr="0034591D" w:rsidRDefault="0050377E" w:rsidP="0050377E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</w:t>
                            </w:r>
                            <w:r w:rsidRPr="007A284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fonte avec revêtement cataphorèse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,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 acier inoxydable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, roue en fonte ou polypropylène suivant modèle</w:t>
                            </w:r>
                            <w:r w:rsidR="009319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</w:p>
                          <w:p w:rsidR="0050377E" w:rsidRPr="002F7CA1" w:rsidRDefault="0050377E" w:rsidP="0050377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Module électronique avec mémoire pour sauvegarde des données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0377E" w:rsidRDefault="0050377E" w:rsidP="0050377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Reports de défaut et de marche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0377E" w:rsidRDefault="0050377E" w:rsidP="0050377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Ordre de marche, commande à distance.</w:t>
                            </w:r>
                          </w:p>
                          <w:p w:rsidR="0050377E" w:rsidRDefault="0050377E" w:rsidP="0050377E">
                            <w:pPr>
                              <w:pStyle w:val="Sansinterligne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>P</w:t>
                            </w:r>
                            <w:r w:rsidRPr="003A1DD9">
                              <w:rPr>
                                <w:color w:val="000000"/>
                                <w:lang w:eastAsia="fr-FR"/>
                              </w:rPr>
                              <w:t>rotection moteur intégrale avec déclencheur électronique intégré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50377E" w:rsidRDefault="0050377E" w:rsidP="0050377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Entrée analogique 0–10 V, 2–10 V, 0–20 mA, 4–20 Ma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0377E" w:rsidRPr="0050377E" w:rsidRDefault="0050377E" w:rsidP="0050377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50377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le coffret de commande devra répondre aux exigences suivantes : </w:t>
                            </w:r>
                          </w:p>
                          <w:p w:rsidR="0050377E" w:rsidRPr="00941BAD" w:rsidRDefault="0050377E" w:rsidP="0050377E">
                            <w:pPr>
                              <w:pStyle w:val="Paragraphedeliste"/>
                              <w:numPr>
                                <w:ilvl w:val="1"/>
                                <w:numId w:val="11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41BA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Commande des pompes, y compris permutation horaire et sur défaut</w:t>
                            </w:r>
                            <w:r w:rsidR="0085527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50377E" w:rsidRPr="00941BAD" w:rsidRDefault="0050377E" w:rsidP="0050377E">
                            <w:pPr>
                              <w:pStyle w:val="Paragraphedeliste"/>
                              <w:numPr>
                                <w:ilvl w:val="1"/>
                                <w:numId w:val="11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41BA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Disjoncteur magnétique intégré</w:t>
                            </w:r>
                            <w:r w:rsidR="0085527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50377E" w:rsidRPr="00941BAD" w:rsidRDefault="0050377E" w:rsidP="0050377E">
                            <w:pPr>
                              <w:pStyle w:val="Paragraphedeliste"/>
                              <w:numPr>
                                <w:ilvl w:val="1"/>
                                <w:numId w:val="11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41BA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Visualisation : </w:t>
                            </w:r>
                            <w:r w:rsidR="0085527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</w:t>
                            </w:r>
                            <w:r w:rsidRPr="00941BA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onsigne, état pompe, mode de fonctionnement et code défaut</w:t>
                            </w:r>
                            <w:r w:rsidR="00074F1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50377E" w:rsidRPr="00941BAD" w:rsidRDefault="00855270" w:rsidP="0050377E">
                            <w:pPr>
                              <w:pStyle w:val="Paragraphedeliste"/>
                              <w:numPr>
                                <w:ilvl w:val="1"/>
                                <w:numId w:val="11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Fonctionnalités : c</w:t>
                            </w:r>
                            <w:r w:rsidR="0050377E" w:rsidRPr="00941BA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ycle de dégommage paramétrable, permutation des pompes paramétrable, reports de défaut et de marche, historique des défauts, temps de fonctionnement installation et pompes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50377E" w:rsidRPr="004E2F0B" w:rsidRDefault="0050377E" w:rsidP="0050377E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50377E" w:rsidRDefault="0050377E" w:rsidP="0050377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941BA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La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distribution </w:t>
                      </w:r>
                      <w:r w:rsidRPr="00941BA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se fera au travers d’une cascade de pompe</w:t>
                      </w:r>
                      <w:r w:rsidR="0029231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Pr="00941BA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sur un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principe de fonctionnement de plusieurs </w:t>
                      </w:r>
                      <w:r w:rsidRPr="00941BA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pompes en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parallèle (</w:t>
                      </w:r>
                      <w:r w:rsidRPr="00941BA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cascade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)</w:t>
                      </w:r>
                      <w:r w:rsidRPr="00941BA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50377E" w:rsidRDefault="0050377E" w:rsidP="0050377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es </w:t>
                      </w:r>
                      <w:r w:rsidRPr="0050377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pompes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seront de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type centrifuge monocellulaire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en ligne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à moteur ventilé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2F2F3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de marque </w:t>
                      </w:r>
                      <w:proofErr w:type="spellStart"/>
                      <w:r w:rsidR="002F2F3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proofErr w:type="spellStart"/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A113F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tratos</w:t>
                      </w:r>
                      <w:proofErr w:type="spellEnd"/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GIGA </w:t>
                      </w:r>
                      <w:r w:rsidR="00062F9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ou </w:t>
                      </w:r>
                      <w:r w:rsidR="00062F92"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de</w:t>
                      </w:r>
                      <w:r w:rsidR="00062F9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norme EN733,</w:t>
                      </w:r>
                      <w:r w:rsidR="00062F92"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centrifuge</w:t>
                      </w:r>
                      <w:r w:rsidR="00062F92" w:rsidRPr="008F4C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monocellulai</w:t>
                      </w:r>
                      <w:bookmarkStart w:id="1" w:name="_GoBack"/>
                      <w:bookmarkEnd w:id="1"/>
                      <w:r w:rsidR="00062F92" w:rsidRPr="008F4C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re basse pression </w:t>
                      </w:r>
                      <w:r w:rsidR="00062F9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en</w:t>
                      </w:r>
                      <w:r w:rsidR="00062F92" w:rsidRPr="008F4C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construction monobloc, tubulure d'aspiration axiale et bride de refoulement radiale </w:t>
                      </w:r>
                      <w:r w:rsidR="00062F92"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à moteur ventilé</w:t>
                      </w:r>
                      <w:r w:rsidR="00062F9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2F2F3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de marque </w:t>
                      </w:r>
                      <w:proofErr w:type="spellStart"/>
                      <w:r w:rsidR="002F2F3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="00062F92"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proofErr w:type="spellStart"/>
                      <w:r w:rsidR="00062F92"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A113F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tratos</w:t>
                      </w:r>
                      <w:proofErr w:type="spellEnd"/>
                      <w:r w:rsidR="00062F92"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062F9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GIGA</w:t>
                      </w:r>
                      <w:r w:rsidR="00A113F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062F9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B</w:t>
                      </w:r>
                    </w:p>
                    <w:p w:rsidR="0050377E" w:rsidRDefault="0050377E" w:rsidP="0050377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941BA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La gestion de la cascade de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 pompes se fera au travers d’un co</w:t>
                      </w:r>
                      <w:r w:rsidR="007E21F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ffret de commande de marque </w:t>
                      </w:r>
                      <w:proofErr w:type="spellStart"/>
                      <w:r w:rsidR="007E21F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 w:rsidR="007E21F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type </w:t>
                      </w:r>
                      <w:proofErr w:type="spellStart"/>
                      <w:r w:rsidR="007E21F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SCe</w:t>
                      </w:r>
                      <w:proofErr w:type="spellEnd"/>
                      <w:r w:rsidR="007E21F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-HVAC</w:t>
                      </w:r>
                      <w:r w:rsidR="0085527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5F36EB" w:rsidRDefault="002643C4" w:rsidP="002643C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Garantie constructeur de 2 ans et </w:t>
                      </w:r>
                      <w:r w:rsidRPr="00341D6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mise en service par le fabricant.</w:t>
                      </w:r>
                    </w:p>
                    <w:p w:rsidR="002813A1" w:rsidRDefault="005F36EB" w:rsidP="00280D6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Descriptif et fonctionnalités :</w:t>
                      </w:r>
                    </w:p>
                    <w:p w:rsidR="0050377E" w:rsidRDefault="0050377E" w:rsidP="0050377E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Les pompes seront équipées d’un moteur synchrone à aimants permanents de classe IE5 selon IEC 60034-30-2 et d’un indice de rendement hydraulique MEI 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≥ </w:t>
                      </w:r>
                      <w:r>
                        <w:rPr>
                          <w:color w:val="000000"/>
                        </w:rPr>
                        <w:t xml:space="preserve">0,7 pour </w:t>
                      </w:r>
                      <w:r w:rsidR="00855270">
                        <w:rPr>
                          <w:color w:val="000000"/>
                        </w:rPr>
                        <w:t xml:space="preserve">les </w:t>
                      </w:r>
                      <w:r>
                        <w:rPr>
                          <w:color w:val="000000"/>
                        </w:rPr>
                        <w:t>moteurs inférieurs</w:t>
                      </w:r>
                      <w:r w:rsidR="00855270">
                        <w:rPr>
                          <w:color w:val="000000"/>
                        </w:rPr>
                        <w:t xml:space="preserve"> à 11kw.</w:t>
                      </w:r>
                    </w:p>
                    <w:p w:rsidR="0050377E" w:rsidRPr="00907546" w:rsidRDefault="0050377E" w:rsidP="0050377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Le moteu</w:t>
                      </w:r>
                      <w:r w:rsidR="002F2F3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r synchrone IE5 de la gamme </w:t>
                      </w:r>
                      <w:proofErr w:type="spellStart"/>
                      <w:r w:rsidR="002F2F3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Wilo-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</w:t>
                      </w:r>
                      <w:r w:rsidR="00A113F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tratos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GIGA permet de conserver d’excellent rendement à charge partielle en comparaison à un moteur asynchrone.</w:t>
                      </w:r>
                    </w:p>
                    <w:p w:rsidR="002813A1" w:rsidRPr="002813A1" w:rsidRDefault="0050377E" w:rsidP="0050377E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Convertisseur de fréquence intégré permettant d’ajuster la vitesse du circulateur fonction du </w:t>
                      </w:r>
                      <w:r w:rsidRPr="00745D53">
                        <w:rPr>
                          <w:color w:val="000000"/>
                        </w:rPr>
                        <w:t>signal analogique externe</w:t>
                      </w:r>
                      <w:r>
                        <w:rPr>
                          <w:color w:val="000000"/>
                        </w:rPr>
                        <w:t xml:space="preserve"> transmis par le coffret de commande.</w:t>
                      </w:r>
                    </w:p>
                    <w:p w:rsidR="007C68FC" w:rsidRPr="00941BAD" w:rsidRDefault="007C68FC" w:rsidP="007C68F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941BA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La gestion de la cascade de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s pompes se fera au travers </w:t>
                      </w:r>
                      <w:r w:rsidR="0050377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du</w:t>
                      </w:r>
                      <w:r w:rsidRPr="00941BA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coffret de commande associé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au</w:t>
                      </w:r>
                      <w:r w:rsidRPr="00941BA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capteur de pression différentiel pour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permettre une régulation en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différentiel de pression, 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  <w:t>∆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p.</w:t>
                      </w:r>
                    </w:p>
                    <w:p w:rsidR="00341D62" w:rsidRDefault="007C68FC" w:rsidP="007C68F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B0348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Le coffret de commande permettra d’accompagner les variations de débit d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u réseau tout en régulant la hauteur manométrique</w:t>
                      </w:r>
                      <w:r w:rsidRPr="00B0348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 Le choix des fonctions et les valeurs de réglage sont d</w:t>
                      </w:r>
                      <w:r w:rsidR="0085527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irectement lisibles sur l’écran.</w:t>
                      </w:r>
                    </w:p>
                    <w:p w:rsidR="00855270" w:rsidRDefault="0050377E" w:rsidP="00855270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Interfaces de communication de série en </w:t>
                      </w:r>
                      <w:proofErr w:type="spellStart"/>
                      <w:r w:rsidRPr="00A8476F">
                        <w:rPr>
                          <w:color w:val="000000"/>
                        </w:rPr>
                        <w:t>Modbus</w:t>
                      </w:r>
                      <w:proofErr w:type="spellEnd"/>
                      <w:r w:rsidRPr="00A8476F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RTU, </w:t>
                      </w:r>
                      <w:r w:rsidRPr="00745D53">
                        <w:rPr>
                          <w:color w:val="000000"/>
                        </w:rPr>
                        <w:t>optionnelles</w:t>
                      </w:r>
                      <w:r>
                        <w:rPr>
                          <w:color w:val="000000"/>
                        </w:rPr>
                        <w:t xml:space="preserve"> en </w:t>
                      </w:r>
                      <w:proofErr w:type="spellStart"/>
                      <w:r>
                        <w:rPr>
                          <w:color w:val="000000"/>
                        </w:rPr>
                        <w:t>BACnet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MS/TP, LON, </w:t>
                      </w:r>
                      <w:proofErr w:type="spellStart"/>
                      <w:r>
                        <w:rPr>
                          <w:color w:val="000000"/>
                        </w:rPr>
                        <w:t>CANopen</w:t>
                      </w:r>
                      <w:proofErr w:type="spellEnd"/>
                      <w:r>
                        <w:rPr>
                          <w:color w:val="000000"/>
                        </w:rPr>
                        <w:t>.</w:t>
                      </w:r>
                    </w:p>
                    <w:p w:rsidR="0050377E" w:rsidRPr="0050377E" w:rsidRDefault="0050377E" w:rsidP="0050377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50377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les pompes devront répondre aux exigences suivantes : </w:t>
                      </w:r>
                    </w:p>
                    <w:p w:rsidR="0050377E" w:rsidRDefault="0050377E" w:rsidP="0050377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Moteurs de classe énergétique IE5 selon IEC 60034-30-2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50377E" w:rsidRPr="002F7CA1" w:rsidRDefault="0050377E" w:rsidP="0050377E">
                      <w:pPr>
                        <w:pStyle w:val="Sansinterligne"/>
                        <w:numPr>
                          <w:ilvl w:val="0"/>
                          <w:numId w:val="9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Indice de rendement hydraulique MEI </w:t>
                      </w:r>
                      <w:r w:rsidRPr="002F7CA1">
                        <w:rPr>
                          <w:color w:val="000000"/>
                        </w:rPr>
                        <w:t xml:space="preserve">≥ </w:t>
                      </w:r>
                      <w:r>
                        <w:rPr>
                          <w:color w:val="000000"/>
                        </w:rPr>
                        <w:t xml:space="preserve">0,7 ou MEI </w:t>
                      </w:r>
                      <w:r w:rsidRPr="002F7CA1">
                        <w:rPr>
                          <w:color w:val="000000"/>
                        </w:rPr>
                        <w:t xml:space="preserve">≥ </w:t>
                      </w:r>
                      <w:r>
                        <w:rPr>
                          <w:color w:val="000000"/>
                        </w:rPr>
                        <w:t>0,4 selon puissance.</w:t>
                      </w:r>
                    </w:p>
                    <w:p w:rsidR="0050377E" w:rsidRDefault="0050377E" w:rsidP="0050377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="00D3090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mpérature du fluide de -20°C à 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140°C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50377E" w:rsidRDefault="0050377E" w:rsidP="0050377E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0 à 40°C.</w:t>
                      </w:r>
                    </w:p>
                    <w:p w:rsidR="0050377E" w:rsidRDefault="0050377E" w:rsidP="0050377E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Pression de service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maximum de 16b jusqu’à 120°C et 13b jusqu’à 140°C</w:t>
                      </w:r>
                    </w:p>
                    <w:p w:rsidR="0050377E" w:rsidRPr="0034591D" w:rsidRDefault="0050377E" w:rsidP="0050377E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</w:t>
                      </w:r>
                      <w:r w:rsidRPr="007A284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fonte avec revêtement cataphorèse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,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 acier inoxydable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, roue en fonte ou polypropylène suivant modèle</w:t>
                      </w:r>
                      <w:r w:rsidR="009319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</w:p>
                    <w:p w:rsidR="0050377E" w:rsidRPr="002F7CA1" w:rsidRDefault="0050377E" w:rsidP="0050377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Module électronique avec mémoire pour sauvegarde des données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50377E" w:rsidRDefault="0050377E" w:rsidP="0050377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Reports de défaut et de marche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50377E" w:rsidRDefault="0050377E" w:rsidP="0050377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Ordre de marche, commande à distance.</w:t>
                      </w:r>
                    </w:p>
                    <w:p w:rsidR="0050377E" w:rsidRDefault="0050377E" w:rsidP="0050377E">
                      <w:pPr>
                        <w:pStyle w:val="Sansinterligne"/>
                        <w:numPr>
                          <w:ilvl w:val="0"/>
                          <w:numId w:val="9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>P</w:t>
                      </w:r>
                      <w:r w:rsidRPr="003A1DD9">
                        <w:rPr>
                          <w:color w:val="000000"/>
                          <w:lang w:eastAsia="fr-FR"/>
                        </w:rPr>
                        <w:t>rotection moteur intégrale avec déclencheur électronique intégré</w:t>
                      </w:r>
                      <w:r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50377E" w:rsidRDefault="0050377E" w:rsidP="0050377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Entrée analogique 0–10 V, 2–10 V, 0–20 mA, 4–20 Ma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50377E" w:rsidRPr="0050377E" w:rsidRDefault="0050377E" w:rsidP="0050377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50377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le coffret de commande devra répondre aux exigences suivantes : </w:t>
                      </w:r>
                    </w:p>
                    <w:p w:rsidR="0050377E" w:rsidRPr="00941BAD" w:rsidRDefault="0050377E" w:rsidP="0050377E">
                      <w:pPr>
                        <w:pStyle w:val="Paragraphedeliste"/>
                        <w:numPr>
                          <w:ilvl w:val="1"/>
                          <w:numId w:val="11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941BA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Commande des pompes, y compris permutation horaire et sur défaut</w:t>
                      </w:r>
                      <w:r w:rsidR="0085527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50377E" w:rsidRPr="00941BAD" w:rsidRDefault="0050377E" w:rsidP="0050377E">
                      <w:pPr>
                        <w:pStyle w:val="Paragraphedeliste"/>
                        <w:numPr>
                          <w:ilvl w:val="1"/>
                          <w:numId w:val="11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941BA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Disjoncteur magnétique intégré</w:t>
                      </w:r>
                      <w:r w:rsidR="0085527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50377E" w:rsidRPr="00941BAD" w:rsidRDefault="0050377E" w:rsidP="0050377E">
                      <w:pPr>
                        <w:pStyle w:val="Paragraphedeliste"/>
                        <w:numPr>
                          <w:ilvl w:val="1"/>
                          <w:numId w:val="11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941BA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Visualisation : </w:t>
                      </w:r>
                      <w:r w:rsidR="0085527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</w:t>
                      </w:r>
                      <w:r w:rsidRPr="00941BA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onsigne, état pompe, mode de fonctionnement et code défaut</w:t>
                      </w:r>
                      <w:r w:rsidR="00074F1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50377E" w:rsidRPr="00941BAD" w:rsidRDefault="00855270" w:rsidP="0050377E">
                      <w:pPr>
                        <w:pStyle w:val="Paragraphedeliste"/>
                        <w:numPr>
                          <w:ilvl w:val="1"/>
                          <w:numId w:val="11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Fonctionnalités : c</w:t>
                      </w:r>
                      <w:r w:rsidR="0050377E" w:rsidRPr="00941BA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ycle de dégommage paramétrable, permutation des pompes paramétrable, reports de défaut et de marche, historique des défauts, temps de fonctionnement installation et pompes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50377E" w:rsidRPr="004E2F0B" w:rsidRDefault="0050377E" w:rsidP="0050377E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D8F" w:rsidRPr="002F2F3B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855270" w:rsidRPr="002F2F3B">
        <w:rPr>
          <w:rFonts w:ascii="BabyMine Plump" w:hAnsi="BabyMine Plump"/>
          <w:color w:val="BFBFBF" w:themeColor="background1" w:themeShade="BF"/>
          <w:sz w:val="36"/>
          <w:szCs w:val="36"/>
        </w:rPr>
        <w:t>pompes électroniques</w:t>
      </w:r>
      <w:r w:rsidR="002F2F3B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r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                   </w:t>
      </w:r>
      <w:r w:rsidR="002F2F3B" w:rsidRPr="002F2F3B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en parallèle « cascade »                                                </w:t>
      </w:r>
      <w:r w:rsidR="00855270" w:rsidRPr="002F2F3B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                    </w:t>
      </w:r>
      <w:proofErr w:type="spellStart"/>
      <w:r w:rsidR="002F2F3B">
        <w:rPr>
          <w:rFonts w:ascii="BabyMine Plump" w:hAnsi="BabyMine Plump"/>
          <w:color w:val="BFBFBF" w:themeColor="background1" w:themeShade="BF"/>
          <w:sz w:val="36"/>
          <w:szCs w:val="36"/>
        </w:rPr>
        <w:t>Wilo-</w:t>
      </w:r>
      <w:r w:rsidR="00855270" w:rsidRPr="002F2F3B">
        <w:rPr>
          <w:rFonts w:ascii="BabyMine Plump" w:hAnsi="BabyMine Plump"/>
          <w:color w:val="BFBFBF" w:themeColor="background1" w:themeShade="BF"/>
          <w:sz w:val="36"/>
          <w:szCs w:val="36"/>
        </w:rPr>
        <w:t>Stratos</w:t>
      </w:r>
      <w:proofErr w:type="spellEnd"/>
      <w:r w:rsidR="00855270" w:rsidRPr="002F2F3B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G</w:t>
      </w:r>
      <w:r w:rsidR="002F2F3B">
        <w:rPr>
          <w:rFonts w:ascii="BabyMine Plump" w:hAnsi="BabyMine Plump"/>
          <w:color w:val="BFBFBF" w:themeColor="background1" w:themeShade="BF"/>
          <w:sz w:val="36"/>
          <w:szCs w:val="36"/>
        </w:rPr>
        <w:t>IGA</w:t>
      </w:r>
      <w:r w:rsidR="00062F92" w:rsidRPr="002F2F3B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r w:rsidR="00855270" w:rsidRPr="002F2F3B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et </w:t>
      </w:r>
      <w:proofErr w:type="spellStart"/>
      <w:r w:rsidR="002F2F3B"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proofErr w:type="spellEnd"/>
      <w:r w:rsidR="002F2F3B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proofErr w:type="spellStart"/>
      <w:r w:rsidR="007E21F3">
        <w:rPr>
          <w:rFonts w:ascii="BabyMine Plump" w:hAnsi="BabyMine Plump"/>
          <w:color w:val="BFBFBF" w:themeColor="background1" w:themeShade="BF"/>
          <w:sz w:val="36"/>
          <w:szCs w:val="36"/>
        </w:rPr>
        <w:t>SCe</w:t>
      </w:r>
      <w:proofErr w:type="spellEnd"/>
      <w:r w:rsidR="007E21F3">
        <w:rPr>
          <w:rFonts w:ascii="BabyMine Plump" w:hAnsi="BabyMine Plump"/>
          <w:color w:val="BFBFBF" w:themeColor="background1" w:themeShade="BF"/>
          <w:sz w:val="36"/>
          <w:szCs w:val="36"/>
        </w:rPr>
        <w:t>-HVAC</w:t>
      </w:r>
    </w:p>
    <w:sectPr w:rsidR="006C6DA1" w:rsidRPr="00855270" w:rsidSect="00DA3D8F">
      <w:headerReference w:type="default" r:id="rId11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C4" w:rsidRDefault="00B628C4" w:rsidP="00DA3D8F">
      <w:r>
        <w:separator/>
      </w:r>
    </w:p>
  </w:endnote>
  <w:endnote w:type="continuationSeparator" w:id="0">
    <w:p w:rsidR="00B628C4" w:rsidRDefault="00B628C4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C4" w:rsidRDefault="00B628C4" w:rsidP="00DA3D8F">
      <w:r>
        <w:separator/>
      </w:r>
    </w:p>
  </w:footnote>
  <w:footnote w:type="continuationSeparator" w:id="0">
    <w:p w:rsidR="00B628C4" w:rsidRDefault="00B628C4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F69"/>
    <w:multiLevelType w:val="hybridMultilevel"/>
    <w:tmpl w:val="70E2F82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B7D71"/>
    <w:multiLevelType w:val="hybridMultilevel"/>
    <w:tmpl w:val="70FAAB9E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023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C2B40"/>
    <w:multiLevelType w:val="hybridMultilevel"/>
    <w:tmpl w:val="F746C8EA"/>
    <w:lvl w:ilvl="0" w:tplc="44D4E0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1E7D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463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1ACE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F2BD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EC8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82A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9ED7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9884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E5DB9"/>
    <w:multiLevelType w:val="hybridMultilevel"/>
    <w:tmpl w:val="B8C4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62F92"/>
    <w:rsid w:val="00074F10"/>
    <w:rsid w:val="00156456"/>
    <w:rsid w:val="002643C4"/>
    <w:rsid w:val="00280AFB"/>
    <w:rsid w:val="00280D67"/>
    <w:rsid w:val="002813A1"/>
    <w:rsid w:val="00292312"/>
    <w:rsid w:val="002C5E11"/>
    <w:rsid w:val="002F2F3B"/>
    <w:rsid w:val="00341D62"/>
    <w:rsid w:val="003D3E39"/>
    <w:rsid w:val="004E2F0B"/>
    <w:rsid w:val="0050377E"/>
    <w:rsid w:val="00555D0F"/>
    <w:rsid w:val="005F36EB"/>
    <w:rsid w:val="0063708F"/>
    <w:rsid w:val="006C6DA1"/>
    <w:rsid w:val="006E3F52"/>
    <w:rsid w:val="007222B0"/>
    <w:rsid w:val="007C3474"/>
    <w:rsid w:val="007C68FC"/>
    <w:rsid w:val="007E21F3"/>
    <w:rsid w:val="00835928"/>
    <w:rsid w:val="00855270"/>
    <w:rsid w:val="00924702"/>
    <w:rsid w:val="00931947"/>
    <w:rsid w:val="00971C72"/>
    <w:rsid w:val="00997522"/>
    <w:rsid w:val="009B156F"/>
    <w:rsid w:val="009F0D4D"/>
    <w:rsid w:val="00A113F4"/>
    <w:rsid w:val="00AA39FA"/>
    <w:rsid w:val="00B57C45"/>
    <w:rsid w:val="00B628C4"/>
    <w:rsid w:val="00D30903"/>
    <w:rsid w:val="00D907ED"/>
    <w:rsid w:val="00D92BB9"/>
    <w:rsid w:val="00DA3D8F"/>
    <w:rsid w:val="00DE22F2"/>
    <w:rsid w:val="00E8683C"/>
    <w:rsid w:val="00E962CA"/>
    <w:rsid w:val="00FA6EC7"/>
    <w:rsid w:val="00FC1440"/>
    <w:rsid w:val="00F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3DAB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  <w:style w:type="paragraph" w:styleId="Corpsdetexte">
    <w:name w:val="Body Text"/>
    <w:basedOn w:val="Normal"/>
    <w:link w:val="CorpsdetexteCar"/>
    <w:rsid w:val="00280D67"/>
    <w:pPr>
      <w:ind w:right="4572"/>
    </w:pPr>
    <w:rPr>
      <w:rFonts w:ascii="Arial" w:eastAsia="Times New Roman" w:hAnsi="Arial" w:cs="Arial"/>
      <w:sz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80D67"/>
    <w:rPr>
      <w:rFonts w:ascii="Arial" w:eastAsia="Times New Roman" w:hAnsi="Arial" w:cs="Arial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18</cp:revision>
  <dcterms:created xsi:type="dcterms:W3CDTF">2020-06-19T13:47:00Z</dcterms:created>
  <dcterms:modified xsi:type="dcterms:W3CDTF">2020-09-30T05:09:00Z</dcterms:modified>
</cp:coreProperties>
</file>