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A3D8F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91695" wp14:editId="69F40561">
                <wp:simplePos x="0" y="0"/>
                <wp:positionH relativeFrom="column">
                  <wp:posOffset>4426585</wp:posOffset>
                </wp:positionH>
                <wp:positionV relativeFrom="paragraph">
                  <wp:posOffset>-556895</wp:posOffset>
                </wp:positionV>
                <wp:extent cx="2038350" cy="2278380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278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A3D8F" w:rsidRDefault="00E66FEB" w:rsidP="00DA3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4465EE9" wp14:editId="2F40B65F">
                                  <wp:extent cx="1468755" cy="2180590"/>
                                  <wp:effectExtent l="0" t="0" r="0" b="0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7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83" b="122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755" cy="2180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916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8.55pt;margin-top:-43.85pt;width:160.5pt;height:1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" fillcolor="white [3201]" stroked="f" strokeweight=".5pt">
                <v:textbox>
                  <w:txbxContent>
                    <w:p w:rsidR="00DA3D8F" w:rsidRDefault="00E66FEB" w:rsidP="00DA3D8F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4465EE9" wp14:editId="2F40B65F">
                            <wp:extent cx="1468755" cy="2180590"/>
                            <wp:effectExtent l="0" t="0" r="0" b="0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7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83" b="122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8755" cy="21805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6DA1" w:rsidRPr="00887098" w:rsidRDefault="009C0656">
      <w:pPr>
        <w:rPr>
          <w:sz w:val="36"/>
          <w:szCs w:val="36"/>
        </w:rPr>
      </w:pPr>
      <w:r w:rsidRPr="00887098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5048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5048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577" w:rsidRDefault="00D352F0" w:rsidP="00AF7577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module de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désembouage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sera </w:t>
                            </w:r>
                            <w:r w:rsidR="008870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 w:rsidR="008870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SiClean</w:t>
                            </w:r>
                            <w:proofErr w:type="spellEnd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Comfort</w:t>
                            </w:r>
                            <w:proofErr w:type="spellEnd"/>
                            <w:r w:rsidR="00E66F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vec séparateur i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nox,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aimants extérieurs au fluide, 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purge </w:t>
                            </w:r>
                            <w:r w:rsidR="00E66FE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automatique </w:t>
                            </w:r>
                            <w:r w:rsidRPr="00081D9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des boues et dégazage automatique permanent.</w:t>
                            </w:r>
                            <w:r w:rsidR="00F336F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 m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odule de </w:t>
                            </w:r>
                            <w:proofErr w:type="spellStart"/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désembouage</w:t>
                            </w:r>
                            <w:proofErr w:type="spellEnd"/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disposera d’un 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rendement </w:t>
                            </w:r>
                            <w:r w:rsidR="00E66FEB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optimum 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</w:t>
                            </w:r>
                            <w:r w:rsidR="009C0656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6FEB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98%</w:t>
                            </w:r>
                            <w:r w:rsidR="009C0656" w:rsidRPr="009C065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une 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élimination de </w:t>
                            </w:r>
                            <w:r w:rsidR="009C0656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tout</w:t>
                            </w:r>
                            <w:r w:rsidR="00E66FEB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es les particules jusqu’à 4</w:t>
                            </w:r>
                            <w:r w:rsidR="00A93573" w:rsidRPr="00F336F2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0 µm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45896" w:rsidRDefault="00B77423" w:rsidP="00B7742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mise en service par le fabricant.</w:t>
                            </w:r>
                          </w:p>
                          <w:p w:rsidR="00E45896" w:rsidRDefault="00E45896" w:rsidP="00B7742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B77423" w:rsidRDefault="00E45896" w:rsidP="00AF7577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A93573" w:rsidRPr="009C0656" w:rsidRDefault="00A93573" w:rsidP="00AF7577">
                            <w:pPr>
                              <w:pStyle w:val="NormalWeb"/>
                              <w:spacing w:after="0"/>
                              <w:contextualSpacing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Le dimensionnement se fera suivant les recommandations du fabricant </w:t>
                            </w:r>
                            <w:r w:rsidRP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avec la condition de passer tout le volume d’eau en 24 heures dans le </w:t>
                            </w:r>
                            <w:proofErr w:type="spellStart"/>
                            <w:r w:rsidR="00A368E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désemboueur</w:t>
                            </w:r>
                            <w:proofErr w:type="spellEnd"/>
                            <w:r w:rsidR="00A368E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F7577" w:rsidRPr="00EC0086" w:rsidRDefault="00D352F0" w:rsidP="00EC0086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16E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Le</w:t>
                            </w:r>
                            <w:r w:rsidR="0033406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module permettra un fonctionnement entièrement automatisé et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sans achat de </w:t>
                            </w:r>
                            <w:r w:rsidRPr="00616EC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consommable </w:t>
                            </w:r>
                            <w:r w:rsidR="00A9357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type filtre.</w:t>
                            </w:r>
                            <w:r w:rsidR="00EC0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66FEB" w:rsidRPr="002F590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Le module de </w:t>
                            </w:r>
                            <w:proofErr w:type="spellStart"/>
                            <w:r w:rsidR="00E66FEB" w:rsidRPr="002F590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désembouage</w:t>
                            </w:r>
                            <w:proofErr w:type="spellEnd"/>
                            <w:r w:rsidR="00E66FEB" w:rsidRPr="002F590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pa</w:t>
                            </w:r>
                            <w:r w:rsidR="00887098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r clarificateur cyclonique </w:t>
                            </w:r>
                            <w:proofErr w:type="spellStart"/>
                            <w:r w:rsidR="00887098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33406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SiClean</w:t>
                            </w:r>
                            <w:proofErr w:type="spellEnd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Comfort</w:t>
                            </w:r>
                            <w:proofErr w:type="spellEnd"/>
                            <w:r w:rsidR="002F798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66FEB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consiste</w:t>
                            </w:r>
                            <w:r w:rsidR="00E66FEB" w:rsidRPr="002F5902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en la séparation physique et au dégazage sous l’action de ces 3 effets combinés :</w:t>
                            </w:r>
                          </w:p>
                          <w:p w:rsidR="00EC0086" w:rsidRDefault="00E66FEB" w:rsidP="00AF7577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66FEB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Centrifugation 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F621D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floculation et </w:t>
                            </w:r>
                            <w:r w:rsidR="00F621D3" w:rsidRPr="00F621D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séparation magnétique des oxydes de fer véhiculé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e</w:t>
                            </w:r>
                            <w:r w:rsidR="00F621D3" w:rsidRPr="00F621D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 par l’eau.</w:t>
                            </w:r>
                          </w:p>
                          <w:p w:rsidR="00AF7577" w:rsidRPr="00AF7577" w:rsidRDefault="00E66FEB" w:rsidP="00AF7577">
                            <w:pPr>
                              <w:pStyle w:val="NormalWeb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E66FEB"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Magnétophorèse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</w:t>
                            </w:r>
                            <w:r w:rsidR="00AF7577"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’eau du réseau introduite dans le module est accélérée par la pompe, elle pénètre dans le séparateur par l’entrée tangentielle.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F7577"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La poussée constante de la pompe et du cône d’accélération soumet l’eau à un mouvement centrifuge de très forte vitesse.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F7577"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Sous l’action de ce puissant champ centrifuge ainsi généré et du champ magnétique multipolaire, les particules en suspension dans l’eau glissent le long des parois du séparateur.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AF7577"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Elles sont ensuite aspirées par dépression dans la chambre de rétention inférieure.</w:t>
                            </w:r>
                          </w:p>
                          <w:p w:rsidR="00AF7577" w:rsidRPr="00AF7577" w:rsidRDefault="00E66FEB" w:rsidP="00AF7577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E66FEB">
                              <w:rPr>
                                <w:b/>
                                <w:color w:val="000000"/>
                                <w:lang w:eastAsia="fr-FR"/>
                              </w:rPr>
                              <w:t>Effet vortex</w:t>
                            </w:r>
                            <w:r w:rsidRPr="00E66FEB">
                              <w:rPr>
                                <w:color w:val="000000"/>
                              </w:rPr>
                              <w:t xml:space="preserve"> : </w:t>
                            </w:r>
                            <w:r w:rsidR="00AF7577">
                              <w:rPr>
                                <w:color w:val="000000"/>
                              </w:rPr>
                              <w:t>l</w:t>
                            </w:r>
                            <w:r w:rsidR="00AF7577" w:rsidRPr="00AF7577">
                              <w:rPr>
                                <w:color w:val="000000"/>
                              </w:rPr>
                              <w:t>a présence du déflecteur inverse le sens du mouvement de l’eau, ce qui crée l’effet vortex.</w:t>
                            </w:r>
                          </w:p>
                          <w:p w:rsidR="00AF7577" w:rsidRPr="00AF7577" w:rsidRDefault="00AF7577" w:rsidP="00AF7577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AF7577">
                              <w:rPr>
                                <w:color w:val="000000"/>
                              </w:rPr>
                              <w:t>L’eau remonte au centre du séparateur pour retourner dans le réseau.</w:t>
                            </w:r>
                            <w:r>
                              <w:rPr>
                                <w:color w:val="000000"/>
                              </w:rPr>
                              <w:t xml:space="preserve"> U</w:t>
                            </w:r>
                            <w:r w:rsidRPr="00AF7577">
                              <w:rPr>
                                <w:color w:val="000000"/>
                              </w:rPr>
                              <w:t>n dégazage automatique et permanent est assuré en sortie du séparateur.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AF7577">
                              <w:rPr>
                                <w:color w:val="000000"/>
                              </w:rPr>
                              <w:t>Les oxydes de fer se transforment en magnétites ou boues noires qui sont évacuées par la vanne de purge motorisée.</w:t>
                            </w:r>
                          </w:p>
                          <w:p w:rsidR="00E66FEB" w:rsidRDefault="00E66FEB" w:rsidP="00AF7577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EB2110" w:rsidRPr="00D6230E" w:rsidRDefault="00AF7577" w:rsidP="00AF7577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AF7577">
                              <w:rPr>
                                <w:color w:val="000000"/>
                              </w:rPr>
                              <w:t>L’automatisme intégral et la visualisation du fonctionnement sont assurés par le coffret de commande.</w:t>
                            </w:r>
                          </w:p>
                          <w:p w:rsidR="00E66FEB" w:rsidRPr="00EC0086" w:rsidRDefault="00E66FEB" w:rsidP="00E66F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EC0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Module compact pré-monté comprenant : </w:t>
                            </w:r>
                          </w:p>
                          <w:p w:rsidR="00E66FEB" w:rsidRPr="00D6230E" w:rsidRDefault="00E66FEB" w:rsidP="00E66FEB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623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séparateur en inox 316L avec éléments magnétiques extérieurs montés en périphérie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E66FEB" w:rsidRPr="00D6230E" w:rsidRDefault="00E66FEB" w:rsidP="00E66FEB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pompe à rot</w:t>
                            </w:r>
                            <w:r w:rsidR="008870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or type IPL ou BL de marque </w:t>
                            </w:r>
                            <w:proofErr w:type="spellStart"/>
                            <w:r w:rsidR="0088709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D623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avec moteur IE3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E66FEB" w:rsidRPr="00D6230E" w:rsidRDefault="00E66FEB" w:rsidP="00E66FEB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623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1 coffret de commande et de protection IP559 permettant la programmation des cycles de fonctionnement de la pompe et des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ouvertures des vannes de purges.</w:t>
                            </w:r>
                          </w:p>
                          <w:p w:rsidR="00E66FEB" w:rsidRPr="00AF7577" w:rsidRDefault="00E66FEB" w:rsidP="00AF7577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623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vanne motorisée de purge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, </w:t>
                            </w:r>
                            <w:r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van</w:t>
                            </w:r>
                            <w:r w:rsid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ne motorisée de sécurité, </w:t>
                            </w:r>
                            <w:r w:rsidRPr="00AF75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vanne de réglage du débit.</w:t>
                            </w:r>
                          </w:p>
                          <w:p w:rsidR="00E66FEB" w:rsidRDefault="00531A3C" w:rsidP="00AF7577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 dégazeur automatique</w:t>
                            </w:r>
                          </w:p>
                          <w:p w:rsidR="009C0656" w:rsidRPr="00EC0086" w:rsidRDefault="009C0656" w:rsidP="009C065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EC0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7701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module de </w:t>
                            </w:r>
                            <w:proofErr w:type="spellStart"/>
                            <w:r w:rsidR="007701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désembouage</w:t>
                            </w:r>
                            <w:proofErr w:type="spellEnd"/>
                            <w:r w:rsidR="0077014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EC0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devra répondre aux exigences suivantes : </w:t>
                            </w:r>
                          </w:p>
                          <w:p w:rsidR="009C0656" w:rsidRPr="00B67D15" w:rsidRDefault="00E66FEB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Rendement optimum de 98</w:t>
                            </w:r>
                            <w:r w:rsidR="009C06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%.</w:t>
                            </w:r>
                          </w:p>
                          <w:p w:rsid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Elimination des </w:t>
                            </w:r>
                            <w:r w:rsidRPr="009C06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particules jusqu’à </w:t>
                            </w:r>
                            <w:r w:rsidR="00E66FE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4</w:t>
                            </w:r>
                            <w:r w:rsidRPr="009C06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 µm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9C0656" w:rsidRPr="009C0656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Plage température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du fluide de </w:t>
                            </w:r>
                            <w:r w:rsidR="00E66FE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-8 à 100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°C.</w:t>
                            </w:r>
                          </w:p>
                          <w:p w:rsidR="009C0656" w:rsidRPr="00841570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10b.</w:t>
                            </w:r>
                          </w:p>
                          <w:p w:rsidR="009C0656" w:rsidRPr="00E66FEB" w:rsidRDefault="009C0656" w:rsidP="009C0656">
                            <w:pPr>
                              <w:pStyle w:val="Default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Volume de l’installation jusqu’</w:t>
                            </w:r>
                            <w:r w:rsidR="00E66FEB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à 90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0m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³</w:t>
                            </w:r>
                            <w:r w:rsidR="00F336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66FEB" w:rsidRPr="009C0656" w:rsidRDefault="00E66FEB" w:rsidP="00E66FEB">
                            <w:pPr>
                              <w:pStyle w:val="Default"/>
                              <w:ind w:left="1428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907ED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FC1440" w:rsidRPr="006D0F0F" w:rsidRDefault="00FC1440" w:rsidP="00D907ED">
                            <w:pPr>
                              <w:pStyle w:val="Sansinterligne"/>
                              <w:ind w:left="708"/>
                              <w:rPr>
                                <w:color w:val="000000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FC1440" w:rsidRPr="00D4734E" w:rsidRDefault="00FC1440" w:rsidP="00DA3D8F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7" style="position:absolute;margin-left:-51.05pt;margin-top:99.8pt;width:555.75pt;height:60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50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" adj="-11796480,,5400" path="m1176361,l7058025,r,l7058025,6474119v,649686,-526675,1176361,-1176361,1176361l,765048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74119;5881664,7650480;0,7650480;0,7650480;0,1176361;1176361,0" o:connectangles="0,0,0,0,0,0,0,0,0" textboxrect="0,0,7058025,7650480"/>
                <v:textbox>
                  <w:txbxContent>
                    <w:p w:rsidR="00AF7577" w:rsidRDefault="00D352F0" w:rsidP="00AF7577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module de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désembouage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sera </w:t>
                      </w:r>
                      <w:r w:rsidR="008870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 w:rsidR="008870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SiClean</w:t>
                      </w:r>
                      <w:proofErr w:type="spellEnd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Comfort</w:t>
                      </w:r>
                      <w:proofErr w:type="spellEnd"/>
                      <w:r w:rsidR="00E66F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vec séparateur i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nox,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aimants extérieurs au fluide, 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purge </w:t>
                      </w:r>
                      <w:r w:rsidR="00E66FE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automatique </w:t>
                      </w:r>
                      <w:r w:rsidRPr="00081D9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des boues et dégazage automatique permanent.</w:t>
                      </w:r>
                      <w:r w:rsidR="00F336F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 m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odule de </w:t>
                      </w:r>
                      <w:proofErr w:type="spellStart"/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désembouage</w:t>
                      </w:r>
                      <w:proofErr w:type="spellEnd"/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disposera d’un 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rendement </w:t>
                      </w:r>
                      <w:r w:rsidR="00E66FEB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optimum 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de</w:t>
                      </w:r>
                      <w:r w:rsidR="009C0656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66FEB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98%</w:t>
                      </w:r>
                      <w:r w:rsidR="009C0656" w:rsidRPr="009C065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et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une 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élimination de </w:t>
                      </w:r>
                      <w:r w:rsidR="009C0656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tout</w:t>
                      </w:r>
                      <w:r w:rsidR="00E66FEB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es les particules jusqu’à 4</w:t>
                      </w:r>
                      <w:r w:rsidR="00A93573" w:rsidRPr="00F336F2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0 µm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E45896" w:rsidRDefault="00B77423" w:rsidP="00B7742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Garantie constructeur de 2 ans et </w:t>
                      </w:r>
                      <w:r w:rsidRPr="00341D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mise en service par le fabricant.</w:t>
                      </w:r>
                    </w:p>
                    <w:p w:rsidR="00E45896" w:rsidRDefault="00E45896" w:rsidP="00B7742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B77423" w:rsidRDefault="00E45896" w:rsidP="00AF7577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A93573" w:rsidRPr="009C0656" w:rsidRDefault="00A93573" w:rsidP="00AF7577">
                      <w:pPr>
                        <w:pStyle w:val="NormalWeb"/>
                        <w:spacing w:after="0"/>
                        <w:contextualSpacing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Le dimensionnement se fera suivant les recommandations du fabricant </w:t>
                      </w:r>
                      <w:r w:rsidRP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avec la condition de passer tout le volume d’eau en 24 heures dans le </w:t>
                      </w:r>
                      <w:proofErr w:type="spellStart"/>
                      <w:r w:rsidR="00A368E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désemboueur</w:t>
                      </w:r>
                      <w:proofErr w:type="spellEnd"/>
                      <w:r w:rsidR="00A368E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F7577" w:rsidRPr="00EC0086" w:rsidRDefault="00D352F0" w:rsidP="00EC0086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616E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Le</w:t>
                      </w:r>
                      <w:r w:rsidR="0033406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module permettra un fonctionnement entièrement automatisé et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sans achat de </w:t>
                      </w:r>
                      <w:r w:rsidRPr="00616EC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consommable </w:t>
                      </w:r>
                      <w:r w:rsidR="00A9357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type filtre.</w:t>
                      </w:r>
                      <w:r w:rsidR="00EC0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E66FEB" w:rsidRPr="002F590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Le module de </w:t>
                      </w:r>
                      <w:proofErr w:type="spellStart"/>
                      <w:r w:rsidR="00E66FEB" w:rsidRPr="002F590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désembouage</w:t>
                      </w:r>
                      <w:proofErr w:type="spellEnd"/>
                      <w:r w:rsidR="00E66FEB" w:rsidRPr="002F590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 pa</w:t>
                      </w:r>
                      <w:r w:rsidR="00887098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r clarificateur cyclonique </w:t>
                      </w:r>
                      <w:proofErr w:type="spellStart"/>
                      <w:r w:rsidR="00887098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33406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SiClean</w:t>
                      </w:r>
                      <w:proofErr w:type="spellEnd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Comfort</w:t>
                      </w:r>
                      <w:proofErr w:type="spellEnd"/>
                      <w:r w:rsidR="002F798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E66FEB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consiste</w:t>
                      </w:r>
                      <w:r w:rsidR="00E66FEB" w:rsidRPr="002F5902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 en la séparation physique et au dégazage sous l’action de ces 3 effets combinés :</w:t>
                      </w:r>
                    </w:p>
                    <w:p w:rsidR="00EC0086" w:rsidRDefault="00E66FEB" w:rsidP="00AF7577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E66FEB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Centrifugation 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F621D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floculation et </w:t>
                      </w:r>
                      <w:r w:rsidR="00F621D3" w:rsidRPr="00F621D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séparation magnétique des oxydes de fer véhiculé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e</w:t>
                      </w:r>
                      <w:r w:rsidR="00F621D3" w:rsidRPr="00F621D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 par l’eau.</w:t>
                      </w:r>
                    </w:p>
                    <w:p w:rsidR="00AF7577" w:rsidRPr="00AF7577" w:rsidRDefault="00E66FEB" w:rsidP="00AF7577">
                      <w:pPr>
                        <w:pStyle w:val="NormalWeb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E66FEB"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>Magnétophorèse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</w:t>
                      </w:r>
                      <w:r w:rsidR="00AF7577"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’eau du réseau introduite dans le module est accélérée par la pompe, elle pénètre dans le séparateur par l’entrée tangentielle.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F7577"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La poussée constante de la pompe et du cône d’accélération soumet l’eau à un mouvement centrifuge de très forte vitesse.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F7577"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Sous l’action de ce puissant champ centrifuge ainsi généré et du champ magnétique multipolaire, les particules en suspension dans l’eau glissent le long des parois du séparateur.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AF7577"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Elles sont ensuite aspirées par dépression dans la chambre de rétention inférieure.</w:t>
                      </w:r>
                    </w:p>
                    <w:p w:rsidR="00AF7577" w:rsidRPr="00AF7577" w:rsidRDefault="00E66FEB" w:rsidP="00AF7577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E66FEB">
                        <w:rPr>
                          <w:b/>
                          <w:color w:val="000000"/>
                          <w:lang w:eastAsia="fr-FR"/>
                        </w:rPr>
                        <w:t>Effet vortex</w:t>
                      </w:r>
                      <w:r w:rsidRPr="00E66FEB">
                        <w:rPr>
                          <w:color w:val="000000"/>
                        </w:rPr>
                        <w:t xml:space="preserve"> : </w:t>
                      </w:r>
                      <w:r w:rsidR="00AF7577">
                        <w:rPr>
                          <w:color w:val="000000"/>
                        </w:rPr>
                        <w:t>l</w:t>
                      </w:r>
                      <w:r w:rsidR="00AF7577" w:rsidRPr="00AF7577">
                        <w:rPr>
                          <w:color w:val="000000"/>
                        </w:rPr>
                        <w:t>a présence du déflecteur inverse le sens du mouvement de l’eau, ce qui crée l’effet vortex.</w:t>
                      </w:r>
                    </w:p>
                    <w:p w:rsidR="00AF7577" w:rsidRPr="00AF7577" w:rsidRDefault="00AF7577" w:rsidP="00AF7577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AF7577">
                        <w:rPr>
                          <w:color w:val="000000"/>
                        </w:rPr>
                        <w:t>L’eau remonte au centre du séparateur pour retourner dans le réseau.</w:t>
                      </w:r>
                      <w:r>
                        <w:rPr>
                          <w:color w:val="000000"/>
                        </w:rPr>
                        <w:t xml:space="preserve"> U</w:t>
                      </w:r>
                      <w:r w:rsidRPr="00AF7577">
                        <w:rPr>
                          <w:color w:val="000000"/>
                        </w:rPr>
                        <w:t>n dégazage automatique et permanent est assuré en sortie du séparateur.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AF7577">
                        <w:rPr>
                          <w:color w:val="000000"/>
                        </w:rPr>
                        <w:t>Les oxydes de fer se transforment en magnétites ou boues noires qui sont évacuées par la vanne de purge motorisée.</w:t>
                      </w:r>
                    </w:p>
                    <w:p w:rsidR="00E66FEB" w:rsidRDefault="00E66FEB" w:rsidP="00AF7577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EB2110" w:rsidRPr="00D6230E" w:rsidRDefault="00AF7577" w:rsidP="00AF7577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AF7577">
                        <w:rPr>
                          <w:color w:val="000000"/>
                        </w:rPr>
                        <w:t>L’automatisme intégral et la visualisation du fonctionnement sont assurés par le coffret de commande.</w:t>
                      </w:r>
                    </w:p>
                    <w:p w:rsidR="00E66FEB" w:rsidRPr="00EC0086" w:rsidRDefault="00E66FEB" w:rsidP="00E66FE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EC0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Module compact pré-monté comprenant : </w:t>
                      </w:r>
                    </w:p>
                    <w:p w:rsidR="00E66FEB" w:rsidRPr="00D6230E" w:rsidRDefault="00E66FEB" w:rsidP="00E66FEB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623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séparateur en inox 316L avec éléments magnétiques extérieurs montés en périphérie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E66FEB" w:rsidRPr="00D6230E" w:rsidRDefault="00E66FEB" w:rsidP="00E66FEB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pompe à rot</w:t>
                      </w:r>
                      <w:r w:rsidR="008870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or type IPL ou BL de marque </w:t>
                      </w:r>
                      <w:proofErr w:type="spellStart"/>
                      <w:r w:rsidR="0088709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D623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avec moteur IE3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E66FEB" w:rsidRPr="00D6230E" w:rsidRDefault="00E66FEB" w:rsidP="00E66FEB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623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1 coffret de commande et de protection IP559 permettant la programmation des cycles de fonctionnement de la pompe et des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ouvertures des vannes de purges.</w:t>
                      </w:r>
                    </w:p>
                    <w:p w:rsidR="00E66FEB" w:rsidRPr="00AF7577" w:rsidRDefault="00E66FEB" w:rsidP="00AF7577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D623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vanne motorisée de purge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, </w:t>
                      </w:r>
                      <w:r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van</w:t>
                      </w:r>
                      <w:r w:rsid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ne motorisée de sécurité, </w:t>
                      </w:r>
                      <w:r w:rsidRPr="00AF75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vanne de réglage du débit.</w:t>
                      </w:r>
                    </w:p>
                    <w:p w:rsidR="00E66FEB" w:rsidRDefault="00531A3C" w:rsidP="00AF7577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 dégazeur automatique</w:t>
                      </w:r>
                    </w:p>
                    <w:p w:rsidR="009C0656" w:rsidRPr="00EC0086" w:rsidRDefault="009C0656" w:rsidP="009C065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EC0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7701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module de </w:t>
                      </w:r>
                      <w:proofErr w:type="spellStart"/>
                      <w:r w:rsidR="007701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désembouage</w:t>
                      </w:r>
                      <w:proofErr w:type="spellEnd"/>
                      <w:r w:rsidR="0077014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EC0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devra répondre aux exigences suivantes : </w:t>
                      </w:r>
                    </w:p>
                    <w:p w:rsidR="009C0656" w:rsidRPr="00B67D15" w:rsidRDefault="00E66FEB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Rendement optimum de 98</w:t>
                      </w:r>
                      <w:r w:rsidR="009C065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%.</w:t>
                      </w:r>
                    </w:p>
                    <w:p w:rsid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Elimination des </w:t>
                      </w:r>
                      <w:r w:rsidRPr="009C065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particules jusqu’à </w:t>
                      </w:r>
                      <w:r w:rsidR="00E66FE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4</w:t>
                      </w:r>
                      <w:r w:rsidRPr="009C0656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 µm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9C0656" w:rsidRPr="009C0656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Plage température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du fluide de </w:t>
                      </w:r>
                      <w:r w:rsidR="00E66FE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-8 à 100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°C.</w:t>
                      </w:r>
                    </w:p>
                    <w:p w:rsidR="009C0656" w:rsidRPr="00841570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10b.</w:t>
                      </w:r>
                    </w:p>
                    <w:p w:rsidR="009C0656" w:rsidRPr="00E66FEB" w:rsidRDefault="009C0656" w:rsidP="009C0656">
                      <w:pPr>
                        <w:pStyle w:val="Default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Volume de l’installation jusqu’</w:t>
                      </w:r>
                      <w:r w:rsidR="00E66FEB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à 90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0m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³</w:t>
                      </w:r>
                      <w:r w:rsidR="00F336F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E66FEB" w:rsidRPr="009C0656" w:rsidRDefault="00E66FEB" w:rsidP="00E66FEB">
                      <w:pPr>
                        <w:pStyle w:val="Default"/>
                        <w:ind w:left="1428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907ED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FC1440" w:rsidRPr="006D0F0F" w:rsidRDefault="00FC1440" w:rsidP="00D907ED">
                      <w:pPr>
                        <w:pStyle w:val="Sansinterligne"/>
                        <w:ind w:left="708"/>
                        <w:rPr>
                          <w:color w:val="000000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FC1440" w:rsidRPr="00D4734E" w:rsidRDefault="00FC1440" w:rsidP="00DA3D8F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>Descriptif</w:t>
      </w:r>
      <w:r w:rsidR="004D65DD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562D28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>module de</w:t>
      </w:r>
      <w:r w:rsidR="0088709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562D28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>désembouage</w:t>
      </w:r>
      <w:proofErr w:type="spellEnd"/>
      <w:r w:rsidR="004D65DD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88709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</w:t>
      </w:r>
      <w:proofErr w:type="spellStart"/>
      <w:r w:rsidR="00887098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2F7984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>SiClean</w:t>
      </w:r>
      <w:proofErr w:type="spellEnd"/>
      <w:r w:rsidR="002F7984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proofErr w:type="spellStart"/>
      <w:r w:rsidR="002F7984" w:rsidRPr="00887098">
        <w:rPr>
          <w:rFonts w:ascii="BabyMine Plump" w:hAnsi="BabyMine Plump"/>
          <w:color w:val="BFBFBF" w:themeColor="background1" w:themeShade="BF"/>
          <w:sz w:val="36"/>
          <w:szCs w:val="36"/>
        </w:rPr>
        <w:t>Comfort</w:t>
      </w:r>
      <w:proofErr w:type="spellEnd"/>
      <w:r w:rsidR="00DA3D8F" w:rsidRPr="00887098">
        <w:rPr>
          <w:rFonts w:ascii="BabyMine Plump" w:hAnsi="BabyMine Plump"/>
          <w:noProof/>
          <w:color w:val="FF0000"/>
          <w:sz w:val="36"/>
          <w:szCs w:val="36"/>
          <w:lang w:eastAsia="fr-FR"/>
        </w:rPr>
        <w:t xml:space="preserve"> </w:t>
      </w:r>
    </w:p>
    <w:sectPr w:rsidR="006C6DA1" w:rsidRPr="00887098" w:rsidSect="00DA3D8F">
      <w:headerReference w:type="default" r:id="rId9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49" w:rsidRDefault="00152449" w:rsidP="00DA3D8F">
      <w:r>
        <w:separator/>
      </w:r>
    </w:p>
  </w:endnote>
  <w:endnote w:type="continuationSeparator" w:id="0">
    <w:p w:rsidR="00152449" w:rsidRDefault="00152449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49" w:rsidRDefault="00152449" w:rsidP="00DA3D8F">
      <w:r>
        <w:separator/>
      </w:r>
    </w:p>
  </w:footnote>
  <w:footnote w:type="continuationSeparator" w:id="0">
    <w:p w:rsidR="00152449" w:rsidRDefault="00152449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006B2"/>
    <w:multiLevelType w:val="hybridMultilevel"/>
    <w:tmpl w:val="F446D09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6D2BAA"/>
    <w:multiLevelType w:val="hybridMultilevel"/>
    <w:tmpl w:val="BCB4E26E"/>
    <w:lvl w:ilvl="0" w:tplc="3DC40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72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66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C3C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C2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CE1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20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71E8C"/>
    <w:rsid w:val="00152449"/>
    <w:rsid w:val="001F258F"/>
    <w:rsid w:val="00260C48"/>
    <w:rsid w:val="002D4961"/>
    <w:rsid w:val="002F7984"/>
    <w:rsid w:val="00334062"/>
    <w:rsid w:val="004A56CF"/>
    <w:rsid w:val="004C0780"/>
    <w:rsid w:val="004D65DD"/>
    <w:rsid w:val="00531A3C"/>
    <w:rsid w:val="00555D0F"/>
    <w:rsid w:val="00562D28"/>
    <w:rsid w:val="0059597E"/>
    <w:rsid w:val="00632E32"/>
    <w:rsid w:val="006C6DA1"/>
    <w:rsid w:val="00705D69"/>
    <w:rsid w:val="0077014E"/>
    <w:rsid w:val="00887098"/>
    <w:rsid w:val="008C042C"/>
    <w:rsid w:val="009507AF"/>
    <w:rsid w:val="009C0656"/>
    <w:rsid w:val="00A368E8"/>
    <w:rsid w:val="00A93573"/>
    <w:rsid w:val="00AF7577"/>
    <w:rsid w:val="00B67D15"/>
    <w:rsid w:val="00B67FB7"/>
    <w:rsid w:val="00B77423"/>
    <w:rsid w:val="00C5252A"/>
    <w:rsid w:val="00CF4680"/>
    <w:rsid w:val="00D352F0"/>
    <w:rsid w:val="00D907ED"/>
    <w:rsid w:val="00DA0CAF"/>
    <w:rsid w:val="00DA3D8F"/>
    <w:rsid w:val="00DD124E"/>
    <w:rsid w:val="00E45896"/>
    <w:rsid w:val="00E66FEB"/>
    <w:rsid w:val="00E967E6"/>
    <w:rsid w:val="00EB2110"/>
    <w:rsid w:val="00EC0086"/>
    <w:rsid w:val="00F336F2"/>
    <w:rsid w:val="00F621D3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A33D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16</cp:revision>
  <dcterms:created xsi:type="dcterms:W3CDTF">2020-06-04T14:41:00Z</dcterms:created>
  <dcterms:modified xsi:type="dcterms:W3CDTF">2020-07-22T11:11:00Z</dcterms:modified>
</cp:coreProperties>
</file>