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FC1440" w:rsidP="00DA3D8F">
                            <w:pPr>
                              <w:jc w:val="center"/>
                            </w:pPr>
                            <w:r w:rsidRPr="00FC144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49120" cy="1994149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994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FC1440" w:rsidP="00DA3D8F">
                      <w:pPr>
                        <w:jc w:val="center"/>
                      </w:pPr>
                      <w:r w:rsidRPr="00FC144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49120" cy="1994149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994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6A5713" w:rsidRDefault="00DA3D8F">
      <w:pPr>
        <w:rPr>
          <w:sz w:val="36"/>
          <w:szCs w:val="36"/>
        </w:rPr>
      </w:pPr>
      <w:r w:rsidRPr="006A5713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50480"/>
                <wp:effectExtent l="0" t="0" r="28575" b="266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5048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440" w:rsidRDefault="00FC1440" w:rsidP="00FC1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L'expansion du réseau sera assurée par un ensemble de maintien de </w:t>
                            </w:r>
                            <w:r w:rsidR="00D907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pression par pompes et déverseurs </w:t>
                            </w:r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réglable</w:t>
                            </w:r>
                            <w:r w:rsidR="003B41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907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</w:t>
                            </w:r>
                            <w:r w:rsidR="006A57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marque </w:t>
                            </w:r>
                            <w:proofErr w:type="spellStart"/>
                            <w:r w:rsidR="006A57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WEH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ou WEV</w:t>
                            </w:r>
                            <w:r w:rsidRPr="007D6FB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composé de deux pompes et de deux déverseurs. Le groupe de maintien de pression sera associé à une bâche avec électrovanne de remplissage.</w:t>
                            </w:r>
                          </w:p>
                          <w:p w:rsidR="00C80457" w:rsidRDefault="00C80457" w:rsidP="00FC1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mise en service par l</w:t>
                            </w:r>
                            <w:bookmarkStart w:id="0" w:name="_GoBack"/>
                            <w:bookmarkEnd w:id="0"/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 fabricant.</w:t>
                            </w:r>
                          </w:p>
                          <w:p w:rsidR="009250E6" w:rsidRDefault="009250E6" w:rsidP="00FC1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250E6" w:rsidRPr="009250E6" w:rsidRDefault="009250E6" w:rsidP="009250E6">
                            <w:pPr>
                              <w:spacing w:line="264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DA3D8F" w:rsidRPr="009250E6" w:rsidRDefault="002D4961" w:rsidP="009250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système devra être conforme à la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norme EN 12828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et respecter un volume de réserve de 0.5%.</w:t>
                            </w:r>
                          </w:p>
                          <w:p w:rsidR="00FC1440" w:rsidRPr="00080A82" w:rsidRDefault="00FC1440" w:rsidP="00FC144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Les modules d’expansion </w:t>
                            </w:r>
                            <w:proofErr w:type="spellStart"/>
                            <w:r w:rsidR="006A57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D907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WEH/WEV sont de conception compacte et prêts à être raccordés. Le système permet de maintenir le circuit à une pression statique satisfaisante tout en acceptant les variations de pression dues aux températures de fonctionnement du réseau.</w:t>
                            </w:r>
                          </w:p>
                          <w:p w:rsidR="00FC1440" w:rsidRDefault="00FC1440" w:rsidP="009250E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Un réservoir dimensionné en fonction du volume d’eau de l’installation absorbe les dilatations de celui-ci. Les augmentations de pression induites, sont maîtrisées par l’ouverture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des déverseurs vers la bâche. </w:t>
                            </w:r>
                            <w:r w:rsidRPr="00080A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L’eau qui stagne dans la bâche à température ambiante est ainsi dégazée.</w:t>
                            </w:r>
                          </w:p>
                          <w:p w:rsidR="009250E6" w:rsidRPr="009250E6" w:rsidRDefault="009250E6" w:rsidP="009250E6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BA406E" w:rsidRDefault="00FC1440" w:rsidP="00FC1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BA40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</w:t>
                            </w:r>
                            <w:r w:rsidR="00D907ED" w:rsidRPr="00BA40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compact </w:t>
                            </w:r>
                            <w:r w:rsidRPr="00BA40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pré-monté comprenant : </w:t>
                            </w:r>
                          </w:p>
                          <w:p w:rsidR="00FC1440" w:rsidRPr="00FB4855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 pompes multicellulaires verticales/ou horizontales PN 16 montées entre collecteurs d’aspiration et de refoulement. </w:t>
                            </w:r>
                          </w:p>
                          <w:p w:rsidR="00FC1440" w:rsidRPr="00081D94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 déverseurs réglables avec filtre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pour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permet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tre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un fonctionnement en secours et en simultané en cas de déverse importante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1440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Bâche de stockage en PPH (Polypropylène Homopolymère) </w:t>
                            </w:r>
                            <w:r w:rsidR="00D907ED" w:rsidRP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insensible à la corrosion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907ED" w:rsidRPr="00D907ED" w:rsidRDefault="00D907ED" w:rsidP="00D907ED">
                            <w:pPr>
                              <w:pStyle w:val="Sansinterligne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Remplissage automatique sous ligne d’eau avec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disconnexion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entre le réseau et l’alimentation en eau de ville.</w:t>
                            </w:r>
                          </w:p>
                          <w:p w:rsidR="00FC1440" w:rsidRPr="00FB4855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jeu de vannes d’isolement et un clapet anti-retour par pompe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1440" w:rsidRPr="00FB4855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 pressostats de sécurité (P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ression faible- Pression forte).</w:t>
                            </w:r>
                          </w:p>
                          <w:p w:rsidR="00FC1440" w:rsidRPr="00FB4855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transmetteur de pression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C1440" w:rsidRDefault="00D907ED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c</w:t>
                            </w:r>
                            <w:r w:rsidR="00FC1440"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offret de commande et d’automatisme avec lecture du po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int de consigne en façade type CE+ avec :</w:t>
                            </w:r>
                          </w:p>
                          <w:p w:rsidR="00D907ED" w:rsidRDefault="00D907ED" w:rsidP="00D907ED">
                            <w:pPr>
                              <w:pStyle w:val="Sansinterligne"/>
                              <w:numPr>
                                <w:ilvl w:val="2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Lecture du point de consigne en façade</w:t>
                            </w:r>
                            <w:r w:rsidR="00B67D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907ED" w:rsidRDefault="00D907ED" w:rsidP="00D907ED">
                            <w:pPr>
                              <w:pStyle w:val="Sansinterligne"/>
                              <w:numPr>
                                <w:ilvl w:val="2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Reports de marche et défauts</w:t>
                            </w:r>
                            <w:r w:rsidR="00B67D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907ED" w:rsidRDefault="00D907ED" w:rsidP="00D907ED">
                            <w:pPr>
                              <w:pStyle w:val="Sansinterligne"/>
                              <w:numPr>
                                <w:ilvl w:val="2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Affichage de la pression du réseau</w:t>
                            </w:r>
                            <w:r w:rsidR="00B67D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907ED" w:rsidRDefault="00D907ED" w:rsidP="00D907ED">
                            <w:pPr>
                              <w:pStyle w:val="Sansinterligne"/>
                              <w:numPr>
                                <w:ilvl w:val="2"/>
                                <w:numId w:val="4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Permutation de l’ordre du démarrage</w:t>
                            </w:r>
                            <w:r w:rsidR="00B67D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C1440" w:rsidRPr="00FB4855" w:rsidRDefault="00B67D15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soupape de sécurité.</w:t>
                            </w:r>
                          </w:p>
                          <w:p w:rsidR="00FC1440" w:rsidRPr="00FB4855" w:rsidRDefault="00FC1440" w:rsidP="00FC144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manomètre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67D15" w:rsidRDefault="00FC1440" w:rsidP="00B67D1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B48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Collecteurs et châssis inox</w:t>
                            </w:r>
                            <w:r w:rsidR="00B67D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67D15" w:rsidRPr="00BA406E" w:rsidRDefault="00B67D15" w:rsidP="00B67D1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BA40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 groupe de maintien de pression devra répondre aux exigences suivantes : </w:t>
                            </w:r>
                          </w:p>
                          <w:p w:rsidR="00B67D15" w:rsidRPr="00B67D15" w:rsidRDefault="00B67D15" w:rsidP="00B67D1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du fluide de 5 à 90°C.</w:t>
                            </w:r>
                          </w:p>
                          <w:p w:rsidR="00B67D15" w:rsidRPr="00841570" w:rsidRDefault="00B67D15" w:rsidP="00B67D1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à 5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0°C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dans un local sec à l’abri du gel.</w:t>
                            </w:r>
                          </w:p>
                          <w:p w:rsidR="00B67D15" w:rsidRPr="00841570" w:rsidRDefault="00B67D15" w:rsidP="00B67D1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système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6b, 10b ou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16b selon modèles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7D15" w:rsidRPr="00841570" w:rsidRDefault="00B67D15" w:rsidP="00B67D1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des bâches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10b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7D15" w:rsidRPr="00841570" w:rsidRDefault="00B67D15" w:rsidP="00B67D1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 ou eau glycolée jusqu’à 4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0%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7D15" w:rsidRPr="00B67D15" w:rsidRDefault="00B67D15" w:rsidP="00B67D1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907E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50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" adj="-11796480,,5400" path="m1176361,l7058025,r,l7058025,6474119v,649686,-526675,1176361,-1176361,1176361l,765048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74119;5881664,7650480;0,7650480;0,7650480;0,1176361;1176361,0" o:connectangles="0,0,0,0,0,0,0,0,0" textboxrect="0,0,7058025,7650480"/>
                <v:textbox>
                  <w:txbxContent>
                    <w:p w:rsidR="00FC1440" w:rsidRDefault="00FC1440" w:rsidP="00FC14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L'expansion du réseau sera assurée par un ensemble de maintien de </w:t>
                      </w:r>
                      <w:r w:rsidR="00D907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pression par pompes et déverseurs </w:t>
                      </w:r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réglable</w:t>
                      </w:r>
                      <w:r w:rsidR="003B41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D907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</w:t>
                      </w:r>
                      <w:r w:rsidR="006A57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marque </w:t>
                      </w:r>
                      <w:proofErr w:type="spellStart"/>
                      <w:r w:rsidR="006A57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WEH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ou WEV</w:t>
                      </w:r>
                      <w:r w:rsidRPr="007D6FB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composé de deux pompes et de deux déverseurs. Le groupe de maintien de pression sera associé à une bâche avec électrovanne de remplissage.</w:t>
                      </w:r>
                    </w:p>
                    <w:p w:rsidR="00C80457" w:rsidRDefault="00C80457" w:rsidP="00FC14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constructeur de 2 ans et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mise en service par l</w:t>
                      </w:r>
                      <w:bookmarkStart w:id="1" w:name="_GoBack"/>
                      <w:bookmarkEnd w:id="1"/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 fabricant.</w:t>
                      </w:r>
                    </w:p>
                    <w:p w:rsidR="009250E6" w:rsidRDefault="009250E6" w:rsidP="00FC14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250E6" w:rsidRPr="009250E6" w:rsidRDefault="009250E6" w:rsidP="009250E6">
                      <w:pPr>
                        <w:spacing w:line="264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DA3D8F" w:rsidRPr="009250E6" w:rsidRDefault="002D4961" w:rsidP="009250E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système devra être conforme à la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norme EN 12828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et respecter un volume de réserve de 0.5%.</w:t>
                      </w:r>
                    </w:p>
                    <w:p w:rsidR="00FC1440" w:rsidRPr="00080A82" w:rsidRDefault="00FC1440" w:rsidP="00FC144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Les modules d’expansion </w:t>
                      </w:r>
                      <w:proofErr w:type="spellStart"/>
                      <w:r w:rsidR="006A57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D907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WEH/WEV sont de conception compacte et prêts à être raccordés. Le système permet de maintenir le circuit à une pression statique satisfaisante tout en acceptant les variations de pression dues aux températures de fonctionnement du réseau.</w:t>
                      </w:r>
                    </w:p>
                    <w:p w:rsidR="00FC1440" w:rsidRDefault="00FC1440" w:rsidP="009250E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Un réservoir dimensionné en fonction du volume d’eau de l’installation absorbe les dilatations de celui-ci. Les augmentations de pression induites, sont maîtrisées par l’ouverture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des déverseurs vers la bâche. </w:t>
                      </w:r>
                      <w:r w:rsidRPr="00080A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L’eau qui stagne dans la bâche à température ambiante est ainsi dégazée.</w:t>
                      </w:r>
                    </w:p>
                    <w:p w:rsidR="009250E6" w:rsidRPr="009250E6" w:rsidRDefault="009250E6" w:rsidP="009250E6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C1440" w:rsidRPr="00BA406E" w:rsidRDefault="00FC1440" w:rsidP="00FC14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BA40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</w:t>
                      </w:r>
                      <w:r w:rsidR="00D907ED" w:rsidRPr="00BA40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compact </w:t>
                      </w:r>
                      <w:r w:rsidRPr="00BA40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pré-monté comprenant : </w:t>
                      </w:r>
                    </w:p>
                    <w:p w:rsidR="00FC1440" w:rsidRPr="00FB4855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 pompes multicellulaires verticales/ou horizontales PN 16 montées entre collecteurs d’aspiration et de refoulement. </w:t>
                      </w:r>
                    </w:p>
                    <w:p w:rsidR="00FC1440" w:rsidRPr="00081D94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 déverseurs réglables avec filtre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pour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permet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tre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un fonctionnement en secours et en simultané en cas de déverse importante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1440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Bâche de stockage en PPH (Polypropylène Homopolymère) </w:t>
                      </w:r>
                      <w:r w:rsidR="00D907ED" w:rsidRP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insensible à la corrosion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907ED" w:rsidRPr="00D907ED" w:rsidRDefault="00D907ED" w:rsidP="00D907ED">
                      <w:pPr>
                        <w:pStyle w:val="Sansinterligne"/>
                        <w:numPr>
                          <w:ilvl w:val="1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Remplissage automatique sous ligne d’eau avec </w:t>
                      </w:r>
                      <w:proofErr w:type="spellStart"/>
                      <w:r>
                        <w:rPr>
                          <w:color w:val="000000"/>
                        </w:rPr>
                        <w:t>disconnexion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entre le réseau et l’alimentation en eau de ville.</w:t>
                      </w:r>
                    </w:p>
                    <w:p w:rsidR="00FC1440" w:rsidRPr="00FB4855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jeu de vannes d’isolement et un clapet anti-retour par pompe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1440" w:rsidRPr="00FB4855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 pressostats de sécurité (P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ression faible- Pression forte).</w:t>
                      </w:r>
                    </w:p>
                    <w:p w:rsidR="00FC1440" w:rsidRPr="00FB4855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transmetteur de pression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FC1440" w:rsidRDefault="00D907ED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c</w:t>
                      </w:r>
                      <w:r w:rsidR="00FC1440"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offret de commande et d’automatisme avec lecture du po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int de consigne en façade type CE+ avec :</w:t>
                      </w:r>
                    </w:p>
                    <w:p w:rsidR="00D907ED" w:rsidRDefault="00D907ED" w:rsidP="00D907ED">
                      <w:pPr>
                        <w:pStyle w:val="Sansinterligne"/>
                        <w:numPr>
                          <w:ilvl w:val="2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Lecture du point de consigne en façade</w:t>
                      </w:r>
                      <w:r w:rsidR="00B67D15">
                        <w:rPr>
                          <w:color w:val="000000"/>
                        </w:rPr>
                        <w:t>.</w:t>
                      </w:r>
                    </w:p>
                    <w:p w:rsidR="00D907ED" w:rsidRDefault="00D907ED" w:rsidP="00D907ED">
                      <w:pPr>
                        <w:pStyle w:val="Sansinterligne"/>
                        <w:numPr>
                          <w:ilvl w:val="2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Reports de marche et défauts</w:t>
                      </w:r>
                      <w:r w:rsidR="00B67D15">
                        <w:rPr>
                          <w:color w:val="000000"/>
                        </w:rPr>
                        <w:t>.</w:t>
                      </w:r>
                    </w:p>
                    <w:p w:rsidR="00D907ED" w:rsidRDefault="00D907ED" w:rsidP="00D907ED">
                      <w:pPr>
                        <w:pStyle w:val="Sansinterligne"/>
                        <w:numPr>
                          <w:ilvl w:val="2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Affichage de la pression du réseau</w:t>
                      </w:r>
                      <w:r w:rsidR="00B67D15">
                        <w:rPr>
                          <w:color w:val="000000"/>
                        </w:rPr>
                        <w:t>.</w:t>
                      </w:r>
                    </w:p>
                    <w:p w:rsidR="00D907ED" w:rsidRDefault="00D907ED" w:rsidP="00D907ED">
                      <w:pPr>
                        <w:pStyle w:val="Sansinterligne"/>
                        <w:numPr>
                          <w:ilvl w:val="2"/>
                          <w:numId w:val="4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Permutation de l’ordre du démarrage</w:t>
                      </w:r>
                      <w:r w:rsidR="00B67D15">
                        <w:rPr>
                          <w:color w:val="000000"/>
                        </w:rPr>
                        <w:t>.</w:t>
                      </w:r>
                    </w:p>
                    <w:p w:rsidR="00FC1440" w:rsidRPr="00FB4855" w:rsidRDefault="00B67D15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soupape de sécurité.</w:t>
                      </w:r>
                    </w:p>
                    <w:p w:rsidR="00FC1440" w:rsidRPr="00FB4855" w:rsidRDefault="00FC1440" w:rsidP="00FC144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manomètre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67D15" w:rsidRDefault="00FC1440" w:rsidP="00B67D1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B48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Collecteurs et châssis inox</w:t>
                      </w:r>
                      <w:r w:rsidR="00B67D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67D15" w:rsidRPr="00BA406E" w:rsidRDefault="00B67D15" w:rsidP="00B67D1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BA40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 groupe de maintien de pression devra répondre aux exigences suivantes : </w:t>
                      </w:r>
                    </w:p>
                    <w:p w:rsidR="00B67D15" w:rsidRPr="00B67D15" w:rsidRDefault="00B67D15" w:rsidP="00B67D1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du fluide de 5 à 90°C.</w:t>
                      </w:r>
                    </w:p>
                    <w:p w:rsidR="00B67D15" w:rsidRPr="00841570" w:rsidRDefault="00B67D15" w:rsidP="00B67D1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à 5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0°C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dans un local sec à l’abri du gel.</w:t>
                      </w:r>
                    </w:p>
                    <w:p w:rsidR="00B67D15" w:rsidRPr="00841570" w:rsidRDefault="00B67D15" w:rsidP="00B67D1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système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6b, 10b ou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16b selon modèles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B67D15" w:rsidRPr="00841570" w:rsidRDefault="00B67D15" w:rsidP="00B67D1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des bâches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10b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B67D15" w:rsidRPr="00841570" w:rsidRDefault="00B67D15" w:rsidP="00B67D1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 ou eau glycolée jusqu’à 4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0%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B67D15" w:rsidRPr="00B67D15" w:rsidRDefault="00B67D15" w:rsidP="00B67D1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C1440" w:rsidRDefault="00FC1440" w:rsidP="00D907ED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7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FC1440" w:rsidRPr="006A57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groupe de maintien de </w:t>
      </w:r>
      <w:r w:rsidR="006A57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</w:t>
      </w:r>
      <w:r w:rsidR="00FC1440" w:rsidRPr="006A5713">
        <w:rPr>
          <w:rFonts w:ascii="BabyMine Plump" w:hAnsi="BabyMine Plump"/>
          <w:color w:val="BFBFBF" w:themeColor="background1" w:themeShade="BF"/>
          <w:sz w:val="36"/>
          <w:szCs w:val="36"/>
        </w:rPr>
        <w:t>pression “ouvert”</w:t>
      </w:r>
      <w:r w:rsidR="006A57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6A571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6A571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D907ED" w:rsidRPr="006A5713">
        <w:rPr>
          <w:rFonts w:ascii="BabyMine Plump" w:hAnsi="BabyMine Plump"/>
          <w:color w:val="BFBFBF" w:themeColor="background1" w:themeShade="BF"/>
          <w:sz w:val="36"/>
          <w:szCs w:val="36"/>
        </w:rPr>
        <w:t>WEH/W</w:t>
      </w:r>
      <w:r w:rsidR="00FC1440" w:rsidRPr="006A5713">
        <w:rPr>
          <w:rFonts w:ascii="BabyMine Plump" w:hAnsi="BabyMine Plump"/>
          <w:color w:val="BFBFBF" w:themeColor="background1" w:themeShade="BF"/>
          <w:sz w:val="36"/>
          <w:szCs w:val="36"/>
        </w:rPr>
        <w:t>EV</w:t>
      </w:r>
      <w:r w:rsidRPr="006A5713">
        <w:rPr>
          <w:rFonts w:ascii="BabyMine Plump" w:hAnsi="BabyMine Plump"/>
          <w:noProof/>
          <w:color w:val="FF0000"/>
          <w:sz w:val="36"/>
          <w:szCs w:val="36"/>
          <w:lang w:eastAsia="fr-FR"/>
        </w:rPr>
        <w:t xml:space="preserve"> </w:t>
      </w:r>
    </w:p>
    <w:sectPr w:rsidR="006C6DA1" w:rsidRPr="006A5713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D4" w:rsidRDefault="00834CD4" w:rsidP="00DA3D8F">
      <w:r>
        <w:separator/>
      </w:r>
    </w:p>
  </w:endnote>
  <w:endnote w:type="continuationSeparator" w:id="0">
    <w:p w:rsidR="00834CD4" w:rsidRDefault="00834CD4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D4" w:rsidRDefault="00834CD4" w:rsidP="00DA3D8F">
      <w:r>
        <w:separator/>
      </w:r>
    </w:p>
  </w:footnote>
  <w:footnote w:type="continuationSeparator" w:id="0">
    <w:p w:rsidR="00834CD4" w:rsidRDefault="00834CD4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71E8C"/>
    <w:rsid w:val="001F258F"/>
    <w:rsid w:val="00260C48"/>
    <w:rsid w:val="002D4961"/>
    <w:rsid w:val="003B414D"/>
    <w:rsid w:val="00555D0F"/>
    <w:rsid w:val="00632E32"/>
    <w:rsid w:val="006A5713"/>
    <w:rsid w:val="006C6DA1"/>
    <w:rsid w:val="00834CD4"/>
    <w:rsid w:val="009250E6"/>
    <w:rsid w:val="00B67D15"/>
    <w:rsid w:val="00BA406E"/>
    <w:rsid w:val="00C80457"/>
    <w:rsid w:val="00C91246"/>
    <w:rsid w:val="00CF4680"/>
    <w:rsid w:val="00D907ED"/>
    <w:rsid w:val="00D94C78"/>
    <w:rsid w:val="00DA3D8F"/>
    <w:rsid w:val="00DF0130"/>
    <w:rsid w:val="00E967E6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78A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12</cp:revision>
  <dcterms:created xsi:type="dcterms:W3CDTF">2020-06-03T13:29:00Z</dcterms:created>
  <dcterms:modified xsi:type="dcterms:W3CDTF">2020-07-22T10:53:00Z</dcterms:modified>
</cp:coreProperties>
</file>